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CellMar>
          <w:left w:w="0" w:type="dxa"/>
          <w:right w:w="0" w:type="dxa"/>
        </w:tblCellMar>
        <w:tblLook w:val="01E0" w:firstRow="1" w:lastRow="1" w:firstColumn="1" w:lastColumn="1" w:noHBand="0" w:noVBand="0"/>
      </w:tblPr>
      <w:tblGrid>
        <w:gridCol w:w="4366"/>
        <w:gridCol w:w="340"/>
        <w:gridCol w:w="4366"/>
      </w:tblGrid>
      <w:tr w:rsidR="0010053B" w:rsidRPr="0010053B">
        <w:trPr>
          <w:cantSplit/>
        </w:trPr>
        <w:tc>
          <w:tcPr>
            <w:tcW w:w="4366" w:type="dxa"/>
            <w:tcBorders>
              <w:top w:val="nil"/>
              <w:left w:val="nil"/>
              <w:bottom w:val="nil"/>
              <w:right w:val="nil"/>
            </w:tcBorders>
          </w:tcPr>
          <w:p w:rsidR="0010053B" w:rsidRPr="0010053B" w:rsidRDefault="0010053B" w:rsidP="0073413C">
            <w:pPr>
              <w:pStyle w:val="Original"/>
              <w:suppressAutoHyphens/>
              <w:wordWrap/>
              <w:rPr>
                <w:b/>
                <w:sz w:val="24"/>
                <w:szCs w:val="24"/>
              </w:rPr>
            </w:pPr>
            <w:r w:rsidRPr="0010053B">
              <w:rPr>
                <w:b/>
                <w:sz w:val="24"/>
                <w:szCs w:val="24"/>
              </w:rPr>
              <w:t>European Group on Tort Law</w:t>
            </w:r>
          </w:p>
        </w:tc>
        <w:tc>
          <w:tcPr>
            <w:tcW w:w="340" w:type="dxa"/>
            <w:tcBorders>
              <w:top w:val="nil"/>
              <w:left w:val="nil"/>
              <w:bottom w:val="nil"/>
              <w:right w:val="nil"/>
            </w:tcBorders>
          </w:tcPr>
          <w:p w:rsidR="0010053B" w:rsidRPr="0010053B" w:rsidRDefault="0010053B" w:rsidP="0073413C">
            <w:pPr>
              <w:pStyle w:val="TranslationTitle"/>
              <w:suppressAutoHyphens/>
              <w:wordWrap/>
              <w:rPr>
                <w:sz w:val="24"/>
                <w:szCs w:val="24"/>
              </w:rPr>
            </w:pPr>
          </w:p>
        </w:tc>
        <w:tc>
          <w:tcPr>
            <w:tcW w:w="4366" w:type="dxa"/>
            <w:tcBorders>
              <w:top w:val="nil"/>
              <w:left w:val="nil"/>
              <w:bottom w:val="nil"/>
              <w:right w:val="nil"/>
            </w:tcBorders>
          </w:tcPr>
          <w:p w:rsidR="0010053B" w:rsidRPr="0010053B" w:rsidRDefault="0010053B" w:rsidP="0073413C">
            <w:pPr>
              <w:pStyle w:val="TranslationTitle"/>
              <w:suppressAutoHyphens/>
              <w:wordWrap/>
              <w:rPr>
                <w:sz w:val="24"/>
                <w:szCs w:val="24"/>
                <w:lang w:val="es-ES"/>
              </w:rPr>
            </w:pPr>
            <w:r w:rsidRPr="0010053B">
              <w:rPr>
                <w:sz w:val="24"/>
                <w:szCs w:val="24"/>
                <w:lang w:val="es-ES"/>
              </w:rPr>
              <w:t>European Group on Tort Law</w:t>
            </w:r>
          </w:p>
        </w:tc>
      </w:tr>
      <w:tr w:rsidR="0010053B" w:rsidRPr="00291466">
        <w:trPr>
          <w:cantSplit/>
        </w:trPr>
        <w:tc>
          <w:tcPr>
            <w:tcW w:w="4366" w:type="dxa"/>
            <w:tcBorders>
              <w:top w:val="nil"/>
              <w:left w:val="nil"/>
              <w:bottom w:val="nil"/>
              <w:right w:val="nil"/>
            </w:tcBorders>
          </w:tcPr>
          <w:p w:rsidR="0010053B" w:rsidRPr="0040477C" w:rsidRDefault="0010053B" w:rsidP="0073413C">
            <w:pPr>
              <w:pStyle w:val="OriginalTitle"/>
              <w:suppressAutoHyphens/>
              <w:wordWrap/>
            </w:pPr>
            <w:r w:rsidRPr="0040477C">
              <w:t>Principles of European Tort Law</w:t>
            </w:r>
          </w:p>
        </w:tc>
        <w:tc>
          <w:tcPr>
            <w:tcW w:w="340" w:type="dxa"/>
            <w:tcBorders>
              <w:top w:val="nil"/>
              <w:left w:val="nil"/>
              <w:bottom w:val="nil"/>
              <w:right w:val="nil"/>
            </w:tcBorders>
          </w:tcPr>
          <w:p w:rsidR="0010053B" w:rsidRPr="00406B20" w:rsidRDefault="0010053B" w:rsidP="0073413C">
            <w:pPr>
              <w:suppressAutoHyphens/>
            </w:pPr>
          </w:p>
        </w:tc>
        <w:tc>
          <w:tcPr>
            <w:tcW w:w="4366" w:type="dxa"/>
            <w:tcBorders>
              <w:top w:val="nil"/>
              <w:left w:val="nil"/>
              <w:bottom w:val="nil"/>
              <w:right w:val="nil"/>
            </w:tcBorders>
          </w:tcPr>
          <w:p w:rsidR="0010053B" w:rsidRPr="00A178A6" w:rsidRDefault="0010053B" w:rsidP="0073413C">
            <w:pPr>
              <w:pStyle w:val="TranslationTitle"/>
              <w:suppressAutoHyphens/>
              <w:wordWrap/>
              <w:rPr>
                <w:lang w:val="es-ES"/>
              </w:rPr>
            </w:pPr>
            <w:r w:rsidRPr="00A178A6">
              <w:rPr>
                <w:lang w:val="es-ES"/>
              </w:rPr>
              <w:t>Principios de derecho europeo de la responsabilidad civil</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smartTag w:uri="urn:schemas-microsoft-com:office:smarttags" w:element="place">
              <w:smartTag w:uri="urn:schemas:contacts" w:element="Sn">
                <w:r w:rsidRPr="00291466">
                  <w:t>TITLE</w:t>
                </w:r>
              </w:smartTag>
              <w:r w:rsidRPr="00291466">
                <w:t xml:space="preserve"> </w:t>
              </w:r>
              <w:smartTag w:uri="urn:schemas:contacts" w:element="Sn">
                <w:r w:rsidRPr="00291466">
                  <w:t>I.</w:t>
                </w:r>
              </w:smartTag>
            </w:smartTag>
            <w:r w:rsidRPr="00291466">
              <w:t xml:space="preserve"> Basic Norm</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0" w:name="_Toc90979197"/>
            <w:bookmarkStart w:id="1" w:name="_Toc90979391"/>
            <w:bookmarkStart w:id="2" w:name="_Toc90979440"/>
            <w:bookmarkStart w:id="3" w:name="_Toc90979479"/>
            <w:bookmarkStart w:id="4" w:name="_Toc90979518"/>
            <w:bookmarkStart w:id="5" w:name="_Toc90979665"/>
            <w:bookmarkStart w:id="6" w:name="_Toc90979704"/>
            <w:bookmarkStart w:id="7" w:name="_Toc90979751"/>
            <w:bookmarkStart w:id="8" w:name="_Toc90979819"/>
            <w:bookmarkStart w:id="9" w:name="_Toc90981373"/>
            <w:bookmarkStart w:id="10" w:name="_Toc90981405"/>
            <w:bookmarkStart w:id="11" w:name="_Toc90981466"/>
            <w:bookmarkStart w:id="12" w:name="_Toc90981510"/>
            <w:bookmarkStart w:id="13" w:name="_Toc90983789"/>
            <w:bookmarkStart w:id="14" w:name="_Toc90983814"/>
            <w:bookmarkStart w:id="15" w:name="_Toc91482552"/>
            <w:bookmarkStart w:id="16" w:name="_Toc93773563"/>
            <w:r w:rsidRPr="00A178A6">
              <w:t>TÍTULO I. Norma fundame</w:t>
            </w:r>
            <w:r w:rsidRPr="00A178A6">
              <w:t>n</w:t>
            </w:r>
            <w:r w:rsidRPr="00A178A6">
              <w:t>tal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Chapter 1. Basic Norm</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17" w:name="_Toc90979198"/>
            <w:bookmarkStart w:id="18" w:name="_Toc90979392"/>
            <w:bookmarkStart w:id="19" w:name="_Toc90979441"/>
            <w:bookmarkStart w:id="20" w:name="_Toc90979480"/>
            <w:bookmarkStart w:id="21" w:name="_Toc90979519"/>
            <w:bookmarkStart w:id="22" w:name="_Toc90979666"/>
            <w:bookmarkStart w:id="23" w:name="_Toc90979705"/>
            <w:bookmarkStart w:id="24" w:name="_Toc90979752"/>
            <w:bookmarkStart w:id="25" w:name="_Toc90979820"/>
            <w:bookmarkStart w:id="26" w:name="_Toc90981374"/>
            <w:bookmarkStart w:id="27" w:name="_Toc90981406"/>
            <w:bookmarkStart w:id="28" w:name="_Toc90981467"/>
            <w:bookmarkStart w:id="29" w:name="_Toc90981511"/>
            <w:bookmarkStart w:id="30" w:name="_Toc90983790"/>
            <w:bookmarkStart w:id="31" w:name="_Toc90983815"/>
            <w:bookmarkStart w:id="32" w:name="_Toc91482553"/>
            <w:bookmarkStart w:id="33" w:name="_Toc93773564"/>
            <w:r w:rsidRPr="00A178A6">
              <w:t>Capítulo 1. Norma fund</w:t>
            </w:r>
            <w:r w:rsidRPr="00A178A6">
              <w:t>a</w:t>
            </w:r>
            <w:r w:rsidRPr="00A178A6">
              <w:t>mental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1:101. Basic norm</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rPr>
                <w:b/>
              </w:rPr>
              <w:t>Art. 1:101. Norma fundamental</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A person to whom damage to another is l</w:t>
            </w:r>
            <w:r w:rsidRPr="00291466">
              <w:t>e</w:t>
            </w:r>
            <w:r w:rsidRPr="00291466">
              <w:t>gally attributed is liable to compensate that da</w:t>
            </w:r>
            <w:r w:rsidRPr="00291466">
              <w:t>m</w:t>
            </w:r>
            <w:r w:rsidRPr="00291466">
              <w:t>age.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La persona a quien se pueda imputar jurídicamente el daño sufrido por otra está obligada a r</w:t>
            </w:r>
            <w:r w:rsidRPr="00A178A6">
              <w:t>e</w:t>
            </w:r>
            <w:r w:rsidRPr="00A178A6">
              <w:t>pararlo.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Damage may be attributed in particular to the person</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En particular, el daño puede imputarse a la pers</w:t>
            </w:r>
            <w:r w:rsidRPr="00A178A6">
              <w:t>o</w:t>
            </w:r>
            <w:r w:rsidRPr="00A178A6">
              <w:t>na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a) whose conduct constituting fault has caused it; or</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a) cuya conducta culposa lo haya causado; 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b) whose abnormally dangerous activity has caused it; or</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b) cuya actividad anormalmente p</w:t>
            </w:r>
            <w:r w:rsidRPr="00A178A6">
              <w:t>e</w:t>
            </w:r>
            <w:r w:rsidRPr="00A178A6">
              <w:t>ligrosa lo haya causado; 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c) whose auxiliary has caused it within the scope of his functions.</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bookmarkStart w:id="34" w:name="_GoBack"/>
            <w:bookmarkEnd w:id="34"/>
            <w:r w:rsidRPr="00A178A6">
              <w:t>c) cuyo auxiliar lo haya causado en el ejercicio de sus funciones.</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TITLE II. General Cond</w:t>
            </w:r>
            <w:r w:rsidRPr="00291466">
              <w:t>i</w:t>
            </w:r>
            <w:r w:rsidRPr="00291466">
              <w:t>tions of Liability</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35" w:name="_Toc90979199"/>
            <w:bookmarkStart w:id="36" w:name="_Toc90979393"/>
            <w:bookmarkStart w:id="37" w:name="_Toc90979442"/>
            <w:bookmarkStart w:id="38" w:name="_Toc90979481"/>
            <w:bookmarkStart w:id="39" w:name="_Toc90979520"/>
            <w:bookmarkStart w:id="40" w:name="_Toc90979667"/>
            <w:bookmarkStart w:id="41" w:name="_Toc90979706"/>
            <w:bookmarkStart w:id="42" w:name="_Toc90979753"/>
            <w:bookmarkStart w:id="43" w:name="_Toc90979821"/>
            <w:bookmarkStart w:id="44" w:name="_Toc90981375"/>
            <w:bookmarkStart w:id="45" w:name="_Toc90981407"/>
            <w:bookmarkStart w:id="46" w:name="_Toc90981468"/>
            <w:bookmarkStart w:id="47" w:name="_Toc90981512"/>
            <w:bookmarkStart w:id="48" w:name="_Toc90983791"/>
            <w:bookmarkStart w:id="49" w:name="_Toc90983816"/>
            <w:bookmarkStart w:id="50" w:name="_Toc91482554"/>
            <w:bookmarkStart w:id="51" w:name="_Toc93773565"/>
            <w:r w:rsidRPr="00A178A6">
              <w:t>TÍTULO II. Presupuestos generales de la respo</w:t>
            </w:r>
            <w:r w:rsidRPr="00A178A6">
              <w:t>n</w:t>
            </w:r>
            <w:r w:rsidRPr="00A178A6">
              <w:t>sabilidad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Chapter 2. Damage</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52" w:name="_Toc90979200"/>
            <w:bookmarkStart w:id="53" w:name="_Toc90979394"/>
            <w:bookmarkStart w:id="54" w:name="_Toc90979443"/>
            <w:bookmarkStart w:id="55" w:name="_Toc90979482"/>
            <w:bookmarkStart w:id="56" w:name="_Toc90979521"/>
            <w:bookmarkStart w:id="57" w:name="_Toc90979668"/>
            <w:bookmarkStart w:id="58" w:name="_Toc90979707"/>
            <w:bookmarkStart w:id="59" w:name="_Toc90979754"/>
            <w:bookmarkStart w:id="60" w:name="_Toc90979822"/>
            <w:bookmarkStart w:id="61" w:name="_Toc90981376"/>
            <w:bookmarkStart w:id="62" w:name="_Toc90981408"/>
            <w:bookmarkStart w:id="63" w:name="_Toc90981469"/>
            <w:bookmarkStart w:id="64" w:name="_Toc90981513"/>
            <w:bookmarkStart w:id="65" w:name="_Toc90983792"/>
            <w:bookmarkStart w:id="66" w:name="_Toc90983817"/>
            <w:bookmarkStart w:id="67" w:name="_Toc91482555"/>
            <w:bookmarkStart w:id="68" w:name="_Toc93773566"/>
            <w:r w:rsidRPr="00A178A6">
              <w:t>Capítulo 2. Daño</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2:101. Recoverable damage</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69" w:name="_Toc93773567"/>
            <w:r w:rsidRPr="00A178A6">
              <w:t>Art. 2:101. Daño resarcible</w:t>
            </w:r>
            <w:bookmarkEnd w:id="69"/>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Damage requires material or immaterial harm to a legally protected interest.</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El daño requiere un perjuicio material o inmaterial a un interés jurídicamente protegido.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2:102. Protected interests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rPr>
                <w:b/>
              </w:rPr>
            </w:pPr>
            <w:r w:rsidRPr="00A178A6">
              <w:rPr>
                <w:b/>
              </w:rPr>
              <w:t>Art. 2:102. Intereses protegidos</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The scope of protection of an interest d</w:t>
            </w:r>
            <w:r w:rsidRPr="00291466">
              <w:t>e</w:t>
            </w:r>
            <w:r w:rsidRPr="00291466">
              <w:t>pends on its nature; the higher its value, the pr</w:t>
            </w:r>
            <w:r w:rsidRPr="00291466">
              <w:t>e</w:t>
            </w:r>
            <w:r w:rsidRPr="00291466">
              <w:t>cision of its definition and its obviousness, the more extensive is its protection.</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El alcance de la protección de un interés depende de su naturaleza; su prote</w:t>
            </w:r>
            <w:r w:rsidRPr="00A178A6">
              <w:t>c</w:t>
            </w:r>
            <w:r w:rsidRPr="00A178A6">
              <w:t>ción será más amplia cuanto mayor sea su valor, la precisión de su definición y su o</w:t>
            </w:r>
            <w:r w:rsidRPr="00A178A6">
              <w:t>b</w:t>
            </w:r>
            <w:r w:rsidRPr="00A178A6">
              <w:t>viedad.</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Life, bodily or mental integrity, human dignity and liberty enjoy the most extensive protection.</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La vida, la integridad física y psíquica, la dignidad humana y la libertad gozan de la protección más a</w:t>
            </w:r>
            <w:r w:rsidRPr="00A178A6">
              <w:t>m</w:t>
            </w:r>
            <w:r w:rsidRPr="00A178A6">
              <w:t>plia.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(3) Extensive protection is granted to property rights, including those in intangible property.</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(3) Se otorga una amplia protección a los derechos reales, incluidos los que se refieren a las cosas inco</w:t>
            </w:r>
            <w:r w:rsidRPr="00A178A6">
              <w:t>r</w:t>
            </w:r>
            <w:r w:rsidRPr="00A178A6">
              <w:t>porales.</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(4) Protection of pure economic interests or co</w:t>
            </w:r>
            <w:r w:rsidRPr="00291466">
              <w:t>n</w:t>
            </w:r>
            <w:r w:rsidRPr="00291466">
              <w:t>tractual relatio</w:t>
            </w:r>
            <w:r w:rsidRPr="00291466">
              <w:t>n</w:t>
            </w:r>
            <w:r w:rsidRPr="00291466">
              <w:t>ships may be more limited in scope. In such cases, due r</w:t>
            </w:r>
            <w:r w:rsidRPr="00291466">
              <w:t>e</w:t>
            </w:r>
            <w:r w:rsidRPr="00291466">
              <w:t>gard must be had especially to the proximity between the actor and the endangered person, or to the fact that the actor is aware of the fact that he will cause da</w:t>
            </w:r>
            <w:r w:rsidRPr="00291466">
              <w:t>m</w:t>
            </w:r>
            <w:r w:rsidRPr="00291466">
              <w:t>age even though his interests are necessarily va</w:t>
            </w:r>
            <w:r w:rsidRPr="00291466">
              <w:t>l</w:t>
            </w:r>
            <w:r w:rsidRPr="00291466">
              <w:t>ued lower than those of the victim.</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(4) La protección de intereses puramente patrimoniales o de relaciones contractuales puede tener un alcance más limitado. En tales casos debe tenerse en cuenta, de modo especial, la proximidad entre el agente y la persona protegida, o el hecho de que el agente es consciente de que causará un daño a la víctima a pesar de que sus intereses sean necesariamente objeto de una valoración inf</w:t>
            </w:r>
            <w:r w:rsidRPr="00A178A6">
              <w:t>e</w:t>
            </w:r>
            <w:r w:rsidRPr="00A178A6">
              <w:t>rior a los de ésta.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(5) The scope of protection may also be affected by the nature of liability, so that an interest may receive more extensive protection against inte</w:t>
            </w:r>
            <w:r w:rsidRPr="00291466">
              <w:t>n</w:t>
            </w:r>
            <w:r w:rsidRPr="00291466">
              <w:t>tional harm than in other cases.</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(5) El alcance de la protección puede verse afectado igualmente por la naturaleza de la responsabilidad, de tal modo que, en caso de lesión dolosa, el interés podrá recibir una protección más amplia que en los d</w:t>
            </w:r>
            <w:r w:rsidRPr="00A178A6">
              <w:t>e</w:t>
            </w:r>
            <w:r w:rsidRPr="00A178A6">
              <w:t>más casos.</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lastRenderedPageBreak/>
              <w:t>(6) In determining the scope of protection, the interests of the actor, especially in liberty of a</w:t>
            </w:r>
            <w:r w:rsidRPr="00291466">
              <w:t>c</w:t>
            </w:r>
            <w:r w:rsidRPr="00291466">
              <w:t>tion and in exercising his rights, as well as public interests also have to be taken into consider</w:t>
            </w:r>
            <w:r w:rsidRPr="00291466">
              <w:t>a</w:t>
            </w:r>
            <w:r w:rsidRPr="00291466">
              <w:t>tion.</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(6) Para establecer el alcance de la protección también deberán tenerse en cuenta los intereses del agente, en esp</w:t>
            </w:r>
            <w:r w:rsidRPr="00A178A6">
              <w:t>e</w:t>
            </w:r>
            <w:r w:rsidRPr="00A178A6">
              <w:t>cial, en su libertad de acción y en el ejercicio de sus derechos, así como los intereses públicos.</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2:103. Legitimacy of damage</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70" w:name="_Toc93773568"/>
            <w:r w:rsidRPr="00A178A6">
              <w:t>Art. 2:103. Legitimidad del daño</w:t>
            </w:r>
            <w:bookmarkEnd w:id="70"/>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Losses relating to activities or sources which are regarded as illegitimate cannot be r</w:t>
            </w:r>
            <w:r w:rsidRPr="00291466">
              <w:t>e</w:t>
            </w:r>
            <w:r w:rsidRPr="00291466">
              <w:t>covered.</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Las pérdidas relacionadas con actividades o fuentes que se consideran ilegítimas no pueden ser r</w:t>
            </w:r>
            <w:r w:rsidRPr="00A178A6">
              <w:t>e</w:t>
            </w:r>
            <w:r w:rsidRPr="00A178A6">
              <w:t>sarcidas.</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2:104. Preventive expenses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71" w:name="_Toc93773569"/>
            <w:r w:rsidRPr="00A178A6">
              <w:t>Art. 2:104. Gastos preventivos</w:t>
            </w:r>
            <w:bookmarkEnd w:id="71"/>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Expenses incurred to prevent threatened da</w:t>
            </w:r>
            <w:r w:rsidRPr="00291466">
              <w:t>m</w:t>
            </w:r>
            <w:r w:rsidRPr="00291466">
              <w:t>age amount to recoverable damage in so far as re</w:t>
            </w:r>
            <w:r w:rsidRPr="00291466">
              <w:t>a</w:t>
            </w:r>
            <w:r w:rsidRPr="00291466">
              <w:t>sonably incurred.</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Los gastos realizados para evitar un daño que amenaza producirse constituyen un daño resarcible en la medida en que hayan sido razonables.</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2:105. Proof of damage</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72" w:name="_Toc93773570"/>
            <w:r w:rsidRPr="00A178A6">
              <w:t>Art. 2:105. Prueba del daño</w:t>
            </w:r>
            <w:bookmarkEnd w:id="72"/>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Damage must be proved accor</w:t>
            </w:r>
            <w:r w:rsidRPr="00291466">
              <w:t>d</w:t>
            </w:r>
            <w:r w:rsidRPr="00291466">
              <w:t>ing to normal procedural sta</w:t>
            </w:r>
            <w:r w:rsidRPr="00291466">
              <w:t>n</w:t>
            </w:r>
            <w:r w:rsidRPr="00291466">
              <w:t>dards. The court may estimate the e</w:t>
            </w:r>
            <w:r w:rsidRPr="00291466">
              <w:t>x</w:t>
            </w:r>
            <w:r w:rsidRPr="00291466">
              <w:t>tent of damage where proof of the exact amount would be too difficult or too costly.</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El daño debe probarse de acuerdo con los criterios procesales ordinarios. El tribunal podrá estimar la cuantía del daño cuando la prueba de su importe exacto resulte demasiado difícil o costosa.</w:t>
            </w:r>
          </w:p>
        </w:tc>
      </w:tr>
      <w:tr w:rsidR="0010053B" w:rsidRPr="008D7E57">
        <w:trPr>
          <w:cantSplit/>
        </w:trPr>
        <w:tc>
          <w:tcPr>
            <w:tcW w:w="4366" w:type="dxa"/>
            <w:tcBorders>
              <w:top w:val="nil"/>
              <w:left w:val="nil"/>
              <w:bottom w:val="nil"/>
              <w:right w:val="nil"/>
            </w:tcBorders>
          </w:tcPr>
          <w:p w:rsidR="0010053B" w:rsidRPr="008D7E57" w:rsidRDefault="0010053B" w:rsidP="0073413C">
            <w:pPr>
              <w:pStyle w:val="OriginalHeader"/>
              <w:suppressAutoHyphens/>
              <w:wordWrap/>
              <w:rPr>
                <w:lang w:val="fr-CH"/>
              </w:rPr>
            </w:pPr>
            <w:r w:rsidRPr="008D7E57">
              <w:rPr>
                <w:lang w:val="fr-CH"/>
              </w:rPr>
              <w:t>Chapter 3. Causation</w:t>
            </w:r>
          </w:p>
        </w:tc>
        <w:tc>
          <w:tcPr>
            <w:tcW w:w="340" w:type="dxa"/>
            <w:tcBorders>
              <w:top w:val="nil"/>
              <w:left w:val="nil"/>
              <w:bottom w:val="nil"/>
              <w:right w:val="nil"/>
            </w:tcBorders>
          </w:tcPr>
          <w:p w:rsidR="0010053B" w:rsidRPr="008D7E57"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73" w:name="_Toc90979201"/>
            <w:bookmarkStart w:id="74" w:name="_Toc90979395"/>
            <w:bookmarkStart w:id="75" w:name="_Toc90979444"/>
            <w:bookmarkStart w:id="76" w:name="_Toc90979483"/>
            <w:bookmarkStart w:id="77" w:name="_Toc90979522"/>
            <w:bookmarkStart w:id="78" w:name="_Toc90979669"/>
            <w:bookmarkStart w:id="79" w:name="_Toc90979708"/>
            <w:bookmarkStart w:id="80" w:name="_Toc90979755"/>
            <w:bookmarkStart w:id="81" w:name="_Toc90979823"/>
            <w:bookmarkStart w:id="82" w:name="_Toc90981377"/>
            <w:bookmarkStart w:id="83" w:name="_Toc90981409"/>
            <w:bookmarkStart w:id="84" w:name="_Toc90981470"/>
            <w:bookmarkStart w:id="85" w:name="_Toc90981514"/>
            <w:bookmarkStart w:id="86" w:name="_Toc90983793"/>
            <w:bookmarkStart w:id="87" w:name="_Toc90983818"/>
            <w:bookmarkStart w:id="88" w:name="_Toc91482556"/>
            <w:bookmarkStart w:id="89" w:name="_Toc93773571"/>
            <w:r w:rsidRPr="00A178A6">
              <w:t>Capítulo 3. Relación de causal</w:t>
            </w:r>
            <w:r w:rsidRPr="00A178A6">
              <w:t>i</w:t>
            </w:r>
            <w:r w:rsidRPr="00A178A6">
              <w:t>dad</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tc>
      </w:tr>
      <w:tr w:rsidR="0010053B" w:rsidRPr="008D7E57">
        <w:trPr>
          <w:cantSplit/>
        </w:trPr>
        <w:tc>
          <w:tcPr>
            <w:tcW w:w="4366" w:type="dxa"/>
            <w:tcBorders>
              <w:top w:val="nil"/>
              <w:left w:val="nil"/>
              <w:bottom w:val="nil"/>
              <w:right w:val="nil"/>
            </w:tcBorders>
          </w:tcPr>
          <w:p w:rsidR="0010053B" w:rsidRPr="0010053B" w:rsidRDefault="0010053B" w:rsidP="0073413C">
            <w:pPr>
              <w:pStyle w:val="OriginalHeader"/>
              <w:suppressAutoHyphens/>
              <w:wordWrap/>
              <w:rPr>
                <w:i/>
                <w:lang w:val="fr-CH"/>
              </w:rPr>
            </w:pPr>
            <w:r w:rsidRPr="0010053B">
              <w:rPr>
                <w:i/>
                <w:lang w:val="fr-CH"/>
              </w:rPr>
              <w:t>Section 1. Conditio sine qua non and qualif</w:t>
            </w:r>
            <w:r w:rsidRPr="0010053B">
              <w:rPr>
                <w:i/>
                <w:lang w:val="fr-CH"/>
              </w:rPr>
              <w:t>i</w:t>
            </w:r>
            <w:r w:rsidRPr="0010053B">
              <w:rPr>
                <w:i/>
                <w:lang w:val="fr-CH"/>
              </w:rPr>
              <w:t>cations</w:t>
            </w:r>
          </w:p>
        </w:tc>
        <w:tc>
          <w:tcPr>
            <w:tcW w:w="340" w:type="dxa"/>
            <w:tcBorders>
              <w:top w:val="nil"/>
              <w:left w:val="nil"/>
              <w:bottom w:val="nil"/>
              <w:right w:val="nil"/>
            </w:tcBorders>
          </w:tcPr>
          <w:p w:rsidR="0010053B" w:rsidRPr="008D7E57" w:rsidRDefault="0010053B" w:rsidP="0073413C">
            <w:pPr>
              <w:pStyle w:val="TranslationHeader"/>
              <w:suppressAutoHyphens/>
              <w:wordWrap/>
              <w:rPr>
                <w:i/>
              </w:rPr>
            </w:pPr>
          </w:p>
        </w:tc>
        <w:tc>
          <w:tcPr>
            <w:tcW w:w="4366" w:type="dxa"/>
            <w:tcBorders>
              <w:top w:val="nil"/>
              <w:left w:val="nil"/>
              <w:bottom w:val="nil"/>
              <w:right w:val="nil"/>
            </w:tcBorders>
          </w:tcPr>
          <w:p w:rsidR="0010053B" w:rsidRPr="00A178A6" w:rsidRDefault="0010053B" w:rsidP="0073413C">
            <w:pPr>
              <w:pStyle w:val="TranslationHeader"/>
              <w:suppressAutoHyphens/>
              <w:wordWrap/>
              <w:rPr>
                <w:i/>
              </w:rPr>
            </w:pPr>
            <w:bookmarkStart w:id="90" w:name="_Toc90979202"/>
            <w:bookmarkStart w:id="91" w:name="_Toc90979396"/>
            <w:bookmarkStart w:id="92" w:name="_Toc90979445"/>
            <w:bookmarkStart w:id="93" w:name="_Toc90979484"/>
            <w:bookmarkStart w:id="94" w:name="_Toc90979523"/>
            <w:bookmarkStart w:id="95" w:name="_Toc90979670"/>
            <w:bookmarkStart w:id="96" w:name="_Toc90979709"/>
            <w:bookmarkStart w:id="97" w:name="_Toc90979756"/>
            <w:bookmarkStart w:id="98" w:name="_Toc90979824"/>
            <w:bookmarkStart w:id="99" w:name="_Toc90981378"/>
            <w:bookmarkStart w:id="100" w:name="_Toc90981410"/>
            <w:bookmarkStart w:id="101" w:name="_Toc90981471"/>
            <w:bookmarkStart w:id="102" w:name="_Toc90981515"/>
            <w:bookmarkStart w:id="103" w:name="_Toc90983794"/>
            <w:bookmarkStart w:id="104" w:name="_Toc90983819"/>
            <w:bookmarkStart w:id="105" w:name="_Toc91482557"/>
            <w:bookmarkStart w:id="106" w:name="_Toc93773572"/>
            <w:r w:rsidRPr="00A178A6">
              <w:rPr>
                <w:i/>
              </w:rPr>
              <w:t>Sección 1. La conditio sine qua non y sus l</w:t>
            </w:r>
            <w:r w:rsidRPr="00A178A6">
              <w:rPr>
                <w:i/>
              </w:rPr>
              <w:t>í</w:t>
            </w:r>
            <w:r w:rsidRPr="00A178A6">
              <w:rPr>
                <w:i/>
              </w:rPr>
              <w:t>mites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tc>
      </w:tr>
      <w:tr w:rsidR="0010053B" w:rsidRPr="008D7E57">
        <w:trPr>
          <w:cantSplit/>
        </w:trPr>
        <w:tc>
          <w:tcPr>
            <w:tcW w:w="4366" w:type="dxa"/>
            <w:tcBorders>
              <w:top w:val="nil"/>
              <w:left w:val="nil"/>
              <w:bottom w:val="nil"/>
              <w:right w:val="nil"/>
            </w:tcBorders>
          </w:tcPr>
          <w:p w:rsidR="0010053B" w:rsidRPr="008D7E57" w:rsidRDefault="0010053B" w:rsidP="0073413C">
            <w:pPr>
              <w:pStyle w:val="OriginalHeader"/>
              <w:suppressAutoHyphens/>
              <w:wordWrap/>
            </w:pPr>
            <w:r w:rsidRPr="008D7E57">
              <w:t>Art. 3:101. Conditio sine qua non</w:t>
            </w:r>
          </w:p>
        </w:tc>
        <w:tc>
          <w:tcPr>
            <w:tcW w:w="340" w:type="dxa"/>
            <w:tcBorders>
              <w:top w:val="nil"/>
              <w:left w:val="nil"/>
              <w:bottom w:val="nil"/>
              <w:right w:val="nil"/>
            </w:tcBorders>
          </w:tcPr>
          <w:p w:rsidR="0010053B" w:rsidRPr="008D7E57"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107" w:name="_Toc93773573"/>
            <w:r w:rsidRPr="00A178A6">
              <w:t>Art. 3:101. Conditio sine qua non</w:t>
            </w:r>
            <w:bookmarkEnd w:id="107"/>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An activity or conduct (herea</w:t>
            </w:r>
            <w:r w:rsidRPr="00291466">
              <w:t>f</w:t>
            </w:r>
            <w:r w:rsidRPr="00291466">
              <w:t>ter: activity) is a cause of the victim’s damage if, in the a</w:t>
            </w:r>
            <w:r w:rsidRPr="00291466">
              <w:t>b</w:t>
            </w:r>
            <w:r w:rsidRPr="00291466">
              <w:t>sence of the activity, the damage would not have o</w:t>
            </w:r>
            <w:r w:rsidRPr="00291466">
              <w:t>c</w:t>
            </w:r>
            <w:r w:rsidRPr="00291466">
              <w:t>curred.</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Una actividad o conducta (en adelante, actividad) es causa del daño de la víctima si, de haber faltado tal actividad, el daño no se hubiera pr</w:t>
            </w:r>
            <w:r w:rsidRPr="00A178A6">
              <w:t>o</w:t>
            </w:r>
            <w:r w:rsidRPr="00A178A6">
              <w:t>ducido.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3:102. Concurrent causes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108" w:name="_Toc93773574"/>
            <w:r w:rsidRPr="00A178A6">
              <w:t>Art. 3:102. Causas concurre</w:t>
            </w:r>
            <w:r w:rsidRPr="00A178A6">
              <w:t>n</w:t>
            </w:r>
            <w:r w:rsidRPr="00A178A6">
              <w:t>tes</w:t>
            </w:r>
            <w:bookmarkEnd w:id="108"/>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In case of multiple activities, where each of them alone would have caused the da</w:t>
            </w:r>
            <w:r w:rsidRPr="00291466">
              <w:t>m</w:t>
            </w:r>
            <w:r w:rsidRPr="00291466">
              <w:t>age at the same time, each activity is r</w:t>
            </w:r>
            <w:r w:rsidRPr="00291466">
              <w:t>e</w:t>
            </w:r>
            <w:r w:rsidRPr="00291466">
              <w:t>garded as a cause of the vi</w:t>
            </w:r>
            <w:r w:rsidRPr="00291466">
              <w:t>c</w:t>
            </w:r>
            <w:r w:rsidRPr="00291466">
              <w:t>tim’s damage.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En caso de una pluralidad de activid</w:t>
            </w:r>
            <w:r w:rsidRPr="00A178A6">
              <w:t>a</w:t>
            </w:r>
            <w:r w:rsidRPr="00A178A6">
              <w:t>des, si cada una de ellas hubiera causado el daño por sí sola al mismo tiempo, se considerará que cada actividad es causa del daño de la víct</w:t>
            </w:r>
            <w:r w:rsidRPr="00A178A6">
              <w:t>i</w:t>
            </w:r>
            <w:r w:rsidRPr="00A178A6">
              <w:t>ma.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3:103. Alternative causes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109" w:name="_Toc93773575"/>
            <w:r w:rsidRPr="00A178A6">
              <w:t>Art. 3:103. Causas alternativas</w:t>
            </w:r>
            <w:bookmarkEnd w:id="109"/>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In case of multiple activities, where each of them alone would have been suff</w:t>
            </w:r>
            <w:r w:rsidRPr="00291466">
              <w:t>i</w:t>
            </w:r>
            <w:r w:rsidRPr="00291466">
              <w:t>cient to cause the damage, but it remains u</w:t>
            </w:r>
            <w:r w:rsidRPr="00291466">
              <w:t>n</w:t>
            </w:r>
            <w:r w:rsidRPr="00291466">
              <w:t>certain which one in fact caused it, each activity is regarded as a cause to the extent corresponding to the likel</w:t>
            </w:r>
            <w:r w:rsidRPr="00291466">
              <w:t>i</w:t>
            </w:r>
            <w:r w:rsidRPr="00291466">
              <w:t>hood that it may have caused the victim’s da</w:t>
            </w:r>
            <w:r w:rsidRPr="00291466">
              <w:t>m</w:t>
            </w:r>
            <w:r w:rsidRPr="00291466">
              <w:t>age.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En caso de una pluralidad de actividades, si cada una de ellas ha sido suf</w:t>
            </w:r>
            <w:r w:rsidRPr="00A178A6">
              <w:t>i</w:t>
            </w:r>
            <w:r w:rsidRPr="00A178A6">
              <w:t xml:space="preserve">ciente por sí sola para causar el daño, pero es dudoso cuál de ellas efectivamente lo ha causado, se considera que cada actividad es causa en la medida correspondiente a la probabilidad de que pueda haber causado el daño de la víctima. </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If, in case of multiple victims, it remains u</w:t>
            </w:r>
            <w:r w:rsidRPr="00291466">
              <w:t>n</w:t>
            </w:r>
            <w:r w:rsidRPr="00291466">
              <w:t>certain whether a particular victim’s damage has been caused by an activity, while it is likely that it did not cause the damage of all victims, the a</w:t>
            </w:r>
            <w:r w:rsidRPr="00291466">
              <w:t>c</w:t>
            </w:r>
            <w:r w:rsidRPr="00291466">
              <w:t>tivity is regarded as a cause of the damage su</w:t>
            </w:r>
            <w:r w:rsidRPr="00291466">
              <w:t>f</w:t>
            </w:r>
            <w:r w:rsidRPr="00291466">
              <w:t>fered by all victims in proportion to the likelihood that it may have caused the damage of a partic</w:t>
            </w:r>
            <w:r w:rsidRPr="00291466">
              <w:t>u</w:t>
            </w:r>
            <w:r w:rsidRPr="00291466">
              <w:t>lar victim.</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Si, en el caso de una pluralidad de víctimas, es dudoso que una actividad haya causado el daño de una víctima concreta, pero es probable que no haya causado daño a todas las víct</w:t>
            </w:r>
            <w:r w:rsidRPr="00A178A6">
              <w:t>i</w:t>
            </w:r>
            <w:r w:rsidRPr="00A178A6">
              <w:t>mas, se considera que la actividad es causa del daño sufrido por todas las víctimas en proporción a la probabilidad de que pueda haber causado el daño a una víctima concr</w:t>
            </w:r>
            <w:r w:rsidRPr="00A178A6">
              <w:t>e</w:t>
            </w:r>
            <w:r w:rsidRPr="00A178A6">
              <w:t xml:space="preserve">ta. </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pageBreakBefore/>
              <w:suppressAutoHyphens/>
              <w:wordWrap/>
            </w:pPr>
            <w:r w:rsidRPr="00291466">
              <w:lastRenderedPageBreak/>
              <w:t>Art. 3:104. Potential causes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110" w:name="_Toc93773576"/>
            <w:r w:rsidRPr="00A178A6">
              <w:t>Art. 3:104. Causas potenciales</w:t>
            </w:r>
            <w:bookmarkEnd w:id="110"/>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If an activity has definitely and irreversibly led the victim to suffer damage, a subsequent acti</w:t>
            </w:r>
            <w:r w:rsidRPr="00291466">
              <w:t>v</w:t>
            </w:r>
            <w:r w:rsidRPr="00291466">
              <w:t>ity which alone would have caused the same damage is to be disr</w:t>
            </w:r>
            <w:r w:rsidRPr="00291466">
              <w:t>e</w:t>
            </w:r>
            <w:r w:rsidRPr="00291466">
              <w:t>garded.</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Si una actividad ha acarreado un daño a la víctima de modo irreversible y definitivo, toda actividad posterior que por sí misma hubiera causado el mismo daño debe ser ignorada.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A subsequent activity is ne</w:t>
            </w:r>
            <w:r w:rsidRPr="00291466">
              <w:t>v</w:t>
            </w:r>
            <w:r w:rsidRPr="00291466">
              <w:t>ertheless taken into consider</w:t>
            </w:r>
            <w:r w:rsidRPr="00291466">
              <w:t>a</w:t>
            </w:r>
            <w:r w:rsidRPr="00291466">
              <w:t>tion if it has led to additional or aggr</w:t>
            </w:r>
            <w:r w:rsidRPr="00291466">
              <w:t>a</w:t>
            </w:r>
            <w:r w:rsidRPr="00291466">
              <w:t>vated damage.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No obstante, deberá tenerse en cuenta esa actividad posterior si conlleva un daño adicional o agrav</w:t>
            </w:r>
            <w:r w:rsidRPr="00A178A6">
              <w:t>a</w:t>
            </w:r>
            <w:r w:rsidRPr="00A178A6">
              <w:t>do.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(3) If the first activity has caused continuing damage and the subsequent activity later on also would have caused it, both activities are r</w:t>
            </w:r>
            <w:r w:rsidRPr="00291466">
              <w:t>e</w:t>
            </w:r>
            <w:r w:rsidRPr="00291466">
              <w:t>garded as a cause of that contin</w:t>
            </w:r>
            <w:r w:rsidRPr="00291466">
              <w:t>u</w:t>
            </w:r>
            <w:r w:rsidRPr="00291466">
              <w:t>ing damage from that time on.</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(3) Si la primera actividad ha causado un daño continuado y la actividad posterior también lo hubiera causado más tarde, ambas actividades deben ser consideradas como causa del daño continuado a partir del momento en que concurran.</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3:105. Uncertain partial causation</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111" w:name="_Toc93773577"/>
            <w:r w:rsidRPr="00A178A6">
              <w:t>Art. 3:105. Causalidad parcial incierta</w:t>
            </w:r>
            <w:bookmarkEnd w:id="111"/>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In the case of multiple activities, when it is ce</w:t>
            </w:r>
            <w:r w:rsidRPr="00291466">
              <w:t>r</w:t>
            </w:r>
            <w:r w:rsidRPr="00291466">
              <w:t>tain that none of them has caused the entire damage or any determinable part thereof, those that are likely to have [minimally] contributed to the damage are pr</w:t>
            </w:r>
            <w:r w:rsidRPr="00291466">
              <w:t>e</w:t>
            </w:r>
            <w:r w:rsidRPr="00291466">
              <w:t>sumed to have caused equal shares thereof.</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En el caso de una pluralidad de actividades, si es seguro que ninguna de ellas ha causado todo el daño o una parte determinable del mismo, se presume que aquéllas que probablemente han contribuido (mínimamente) a causarlo lo han causado a pa</w:t>
            </w:r>
            <w:r w:rsidRPr="00A178A6">
              <w:t>r</w:t>
            </w:r>
            <w:r w:rsidRPr="00A178A6">
              <w:t xml:space="preserve">tes iguales. </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3:106. Uncertain causes within the vi</w:t>
            </w:r>
            <w:r w:rsidRPr="00291466">
              <w:t>c</w:t>
            </w:r>
            <w:r w:rsidRPr="00291466">
              <w:t>tim’s sphere</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112" w:name="_Toc93773578"/>
            <w:r w:rsidRPr="00A178A6">
              <w:t>Art. 3:106. Causas inciertas en la esfera de la ví</w:t>
            </w:r>
            <w:r w:rsidRPr="00A178A6">
              <w:t>c</w:t>
            </w:r>
            <w:r w:rsidRPr="00A178A6">
              <w:t>tima</w:t>
            </w:r>
            <w:bookmarkEnd w:id="112"/>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The victim has to bear his loss to the extent co</w:t>
            </w:r>
            <w:r w:rsidRPr="00291466">
              <w:t>r</w:t>
            </w:r>
            <w:r w:rsidRPr="00291466">
              <w:t>responding to the likelihood that it may have been caused by an activity, o</w:t>
            </w:r>
            <w:r w:rsidRPr="00291466">
              <w:t>c</w:t>
            </w:r>
            <w:r w:rsidRPr="00291466">
              <w:t>currence or other circumstance within his own sphere.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La víctima tiene que cargar con la pérdida sufrida en la medida correspondiente a la probabilidad de que pueda haber sido causada por una actividad, acontecimiento o cualquier otra circunstancia perteneciente a su propia esfera.</w:t>
            </w:r>
          </w:p>
        </w:tc>
      </w:tr>
      <w:tr w:rsidR="0010053B" w:rsidRPr="008D7E57">
        <w:trPr>
          <w:cantSplit/>
        </w:trPr>
        <w:tc>
          <w:tcPr>
            <w:tcW w:w="4366" w:type="dxa"/>
            <w:tcBorders>
              <w:top w:val="nil"/>
              <w:left w:val="nil"/>
              <w:bottom w:val="nil"/>
              <w:right w:val="nil"/>
            </w:tcBorders>
          </w:tcPr>
          <w:p w:rsidR="0010053B" w:rsidRPr="0010053B" w:rsidRDefault="0010053B" w:rsidP="0073413C">
            <w:pPr>
              <w:pStyle w:val="OriginalHeader"/>
              <w:suppressAutoHyphens/>
              <w:wordWrap/>
              <w:rPr>
                <w:i/>
              </w:rPr>
            </w:pPr>
            <w:r w:rsidRPr="0010053B">
              <w:rPr>
                <w:i/>
              </w:rPr>
              <w:t>Section 2. Scope of Liability</w:t>
            </w:r>
          </w:p>
        </w:tc>
        <w:tc>
          <w:tcPr>
            <w:tcW w:w="340" w:type="dxa"/>
            <w:tcBorders>
              <w:top w:val="nil"/>
              <w:left w:val="nil"/>
              <w:bottom w:val="nil"/>
              <w:right w:val="nil"/>
            </w:tcBorders>
          </w:tcPr>
          <w:p w:rsidR="0010053B" w:rsidRPr="008D7E57" w:rsidRDefault="0010053B" w:rsidP="0073413C">
            <w:pPr>
              <w:pStyle w:val="TranslationHeader"/>
              <w:suppressAutoHyphens/>
              <w:wordWrap/>
              <w:rPr>
                <w:i/>
              </w:rPr>
            </w:pPr>
          </w:p>
        </w:tc>
        <w:tc>
          <w:tcPr>
            <w:tcW w:w="4366" w:type="dxa"/>
            <w:tcBorders>
              <w:top w:val="nil"/>
              <w:left w:val="nil"/>
              <w:bottom w:val="nil"/>
              <w:right w:val="nil"/>
            </w:tcBorders>
          </w:tcPr>
          <w:p w:rsidR="0010053B" w:rsidRPr="00A178A6" w:rsidRDefault="0010053B" w:rsidP="0073413C">
            <w:pPr>
              <w:pStyle w:val="TranslationHeader"/>
              <w:suppressAutoHyphens/>
              <w:wordWrap/>
              <w:rPr>
                <w:i/>
              </w:rPr>
            </w:pPr>
            <w:bookmarkStart w:id="113" w:name="_Toc90979203"/>
            <w:bookmarkStart w:id="114" w:name="_Toc90979397"/>
            <w:bookmarkStart w:id="115" w:name="_Toc90979446"/>
            <w:bookmarkStart w:id="116" w:name="_Toc90979485"/>
            <w:bookmarkStart w:id="117" w:name="_Toc90979524"/>
            <w:bookmarkStart w:id="118" w:name="_Toc90979671"/>
            <w:bookmarkStart w:id="119" w:name="_Toc90979710"/>
            <w:bookmarkStart w:id="120" w:name="_Toc90979757"/>
            <w:bookmarkStart w:id="121" w:name="_Toc90979825"/>
            <w:bookmarkStart w:id="122" w:name="_Toc90981379"/>
            <w:bookmarkStart w:id="123" w:name="_Toc90981411"/>
            <w:bookmarkStart w:id="124" w:name="_Toc90981472"/>
            <w:bookmarkStart w:id="125" w:name="_Toc90981516"/>
            <w:bookmarkStart w:id="126" w:name="_Toc90983795"/>
            <w:bookmarkStart w:id="127" w:name="_Toc90983820"/>
            <w:bookmarkStart w:id="128" w:name="_Toc91482558"/>
            <w:bookmarkStart w:id="129" w:name="_Toc93773579"/>
            <w:r w:rsidRPr="00A178A6">
              <w:rPr>
                <w:i/>
              </w:rPr>
              <w:t>Sección 2. Alcance de la responsabil</w:t>
            </w:r>
            <w:r w:rsidRPr="00A178A6">
              <w:rPr>
                <w:i/>
              </w:rPr>
              <w:t>i</w:t>
            </w:r>
            <w:r w:rsidRPr="00A178A6">
              <w:rPr>
                <w:i/>
              </w:rPr>
              <w:t>dad</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3:201. Scope of Liability</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130" w:name="_Toc93773580"/>
            <w:r w:rsidRPr="00A178A6">
              <w:t>Art. 3:201. Alcance de la responsabil</w:t>
            </w:r>
            <w:r w:rsidRPr="00A178A6">
              <w:t>i</w:t>
            </w:r>
            <w:r w:rsidRPr="00A178A6">
              <w:t>dad</w:t>
            </w:r>
            <w:bookmarkEnd w:id="130"/>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Where an activity is a cause within the meaning of Section 1 of this Chapter, whether and to what extent damage may be a</w:t>
            </w:r>
            <w:r w:rsidRPr="00291466">
              <w:t>t</w:t>
            </w:r>
            <w:r w:rsidRPr="00291466">
              <w:t>tributed to a person depends on fa</w:t>
            </w:r>
            <w:r w:rsidRPr="00291466">
              <w:t>c</w:t>
            </w:r>
            <w:r w:rsidRPr="00291466">
              <w:t>tors such as</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 xml:space="preserve">Si una actividad es causa en el sentido de </w:t>
            </w:r>
            <w:smartTag w:uri="urn:schemas-microsoft-com:office:smarttags" w:element="PersonName">
              <w:smartTagPr>
                <w:attr w:name="ProductID" w:val="la Secci￳n"/>
              </w:smartTagPr>
              <w:r w:rsidRPr="00A178A6">
                <w:t>la Sección</w:t>
              </w:r>
            </w:smartTag>
            <w:r w:rsidRPr="00A178A6">
              <w:t xml:space="preserve"> 1 de este Capítulo, la cuestión de si puede ser imputada a una persona y en qué medida depende de factores como los siguientes:</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a) the foreseeability of the damage to a reaso</w:t>
            </w:r>
            <w:r w:rsidRPr="00291466">
              <w:t>n</w:t>
            </w:r>
            <w:r w:rsidRPr="00291466">
              <w:t>able person at the time ofthe activity, taking into a</w:t>
            </w:r>
            <w:r w:rsidRPr="00291466">
              <w:t>c</w:t>
            </w:r>
            <w:r w:rsidRPr="00291466">
              <w:t>count in particular the closeness in time or space b</w:t>
            </w:r>
            <w:r w:rsidRPr="00291466">
              <w:t>e</w:t>
            </w:r>
            <w:r w:rsidRPr="00291466">
              <w:t>tween the damaging activity and its consequence, or the magn</w:t>
            </w:r>
            <w:r w:rsidRPr="00291466">
              <w:t>i</w:t>
            </w:r>
            <w:r w:rsidRPr="00291466">
              <w:t>tude of the damage in relation to the normal consequences of such an activity;</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a) la previsibilidad del daño para una persona razonable en el momento de producirse la actividad considerando, en especial, la cercanía en el tiempo y en el espacio entre la actividad dañosa y su consecuencia, o la magnitud del daño en relación con las consecuencias normales de tal a</w:t>
            </w:r>
            <w:r w:rsidRPr="00A178A6">
              <w:t>c</w:t>
            </w:r>
            <w:r w:rsidRPr="00A178A6">
              <w:t>tividad;</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b) the nature and the value of the protected i</w:t>
            </w:r>
            <w:r w:rsidRPr="00291466">
              <w:t>n</w:t>
            </w:r>
            <w:r w:rsidRPr="00291466">
              <w:t>terest (Article 2:102);</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b) la naturaleza y valor del interés protegido (a</w:t>
            </w:r>
            <w:r w:rsidRPr="00A178A6">
              <w:t>r</w:t>
            </w:r>
            <w:r w:rsidRPr="00A178A6">
              <w:t>tículo 2:102);</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c) the basis of liability (Article 1:101);</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c) el fundamento de la responsabilidad (artículo 1:101);</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d) the extent of the ordinary risks of life; and</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d) el alcance de los riesgos ordinarios de la v</w:t>
            </w:r>
            <w:r w:rsidRPr="00A178A6">
              <w:t>i</w:t>
            </w:r>
            <w:r w:rsidRPr="00A178A6">
              <w:t>da; y</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e) the protective purpose of the rule that has been violated.</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e) el fin de protección de la norma que ha sido viol</w:t>
            </w:r>
            <w:r w:rsidRPr="00A178A6">
              <w:t>a</w:t>
            </w:r>
            <w:r w:rsidRPr="00A178A6">
              <w:t>da.</w:t>
            </w:r>
          </w:p>
        </w:tc>
      </w:tr>
      <w:tr w:rsidR="0010053B" w:rsidRPr="00291466">
        <w:trPr>
          <w:cantSplit/>
        </w:trPr>
        <w:tc>
          <w:tcPr>
            <w:tcW w:w="4366" w:type="dxa"/>
            <w:tcBorders>
              <w:top w:val="nil"/>
              <w:left w:val="nil"/>
              <w:bottom w:val="nil"/>
              <w:right w:val="nil"/>
            </w:tcBorders>
          </w:tcPr>
          <w:p w:rsidR="0010053B" w:rsidRPr="00887F29" w:rsidRDefault="0010053B" w:rsidP="0073413C">
            <w:pPr>
              <w:pStyle w:val="OriginalHeader"/>
              <w:suppressAutoHyphens/>
              <w:wordWrap/>
            </w:pPr>
            <w:r w:rsidRPr="00887F29">
              <w:lastRenderedPageBreak/>
              <w:t>TITLE III. Bases of Liability</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131" w:name="_Toc90979204"/>
            <w:bookmarkStart w:id="132" w:name="_Toc90979398"/>
            <w:bookmarkStart w:id="133" w:name="_Toc90979447"/>
            <w:bookmarkStart w:id="134" w:name="_Toc90979486"/>
            <w:bookmarkStart w:id="135" w:name="_Toc90979525"/>
            <w:bookmarkStart w:id="136" w:name="_Toc90979672"/>
            <w:bookmarkStart w:id="137" w:name="_Toc90979711"/>
            <w:bookmarkStart w:id="138" w:name="_Toc90979758"/>
            <w:bookmarkStart w:id="139" w:name="_Toc90979826"/>
            <w:bookmarkStart w:id="140" w:name="_Toc90981380"/>
            <w:bookmarkStart w:id="141" w:name="_Toc90981412"/>
            <w:bookmarkStart w:id="142" w:name="_Toc90981473"/>
            <w:bookmarkStart w:id="143" w:name="_Toc90981517"/>
            <w:bookmarkStart w:id="144" w:name="_Toc90983796"/>
            <w:bookmarkStart w:id="145" w:name="_Toc90983821"/>
            <w:bookmarkStart w:id="146" w:name="_Toc91482559"/>
            <w:bookmarkStart w:id="147" w:name="_Toc93773581"/>
            <w:r w:rsidRPr="00A178A6">
              <w:t>TÍTULO III. Fundamento de la responsabilidad</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c>
      </w:tr>
      <w:tr w:rsidR="0010053B" w:rsidRPr="00291466">
        <w:trPr>
          <w:cantSplit/>
        </w:trPr>
        <w:tc>
          <w:tcPr>
            <w:tcW w:w="4366" w:type="dxa"/>
            <w:tcBorders>
              <w:top w:val="nil"/>
              <w:left w:val="nil"/>
              <w:bottom w:val="nil"/>
              <w:right w:val="nil"/>
            </w:tcBorders>
          </w:tcPr>
          <w:p w:rsidR="0010053B" w:rsidRPr="00887F29" w:rsidRDefault="0010053B" w:rsidP="0073413C">
            <w:pPr>
              <w:pStyle w:val="OriginalHeader"/>
              <w:suppressAutoHyphens/>
              <w:wordWrap/>
            </w:pPr>
            <w:r w:rsidRPr="00887F29">
              <w:t>Chapter 4. Liability based on fault</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148" w:name="_Toc90979205"/>
            <w:bookmarkStart w:id="149" w:name="_Toc90979399"/>
            <w:bookmarkStart w:id="150" w:name="_Toc90979448"/>
            <w:bookmarkStart w:id="151" w:name="_Toc90979487"/>
            <w:bookmarkStart w:id="152" w:name="_Toc90979526"/>
            <w:bookmarkStart w:id="153" w:name="_Toc90979673"/>
            <w:bookmarkStart w:id="154" w:name="_Toc90979712"/>
            <w:bookmarkStart w:id="155" w:name="_Toc90979759"/>
            <w:bookmarkStart w:id="156" w:name="_Toc90979827"/>
            <w:bookmarkStart w:id="157" w:name="_Toc90981381"/>
            <w:bookmarkStart w:id="158" w:name="_Toc90981413"/>
            <w:bookmarkStart w:id="159" w:name="_Toc90981474"/>
            <w:bookmarkStart w:id="160" w:name="_Toc90981518"/>
            <w:bookmarkStart w:id="161" w:name="_Toc90983797"/>
            <w:bookmarkStart w:id="162" w:name="_Toc90983822"/>
            <w:bookmarkStart w:id="163" w:name="_Toc91482560"/>
            <w:bookmarkStart w:id="164" w:name="_Toc93773582"/>
            <w:r w:rsidRPr="00A178A6">
              <w:t>Capítulo 4. Responsabilidad por cu</w:t>
            </w:r>
            <w:r w:rsidRPr="00A178A6">
              <w:t>l</w:t>
            </w:r>
            <w:r w:rsidRPr="00A178A6">
              <w:t>pa</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r>
      <w:tr w:rsidR="0010053B" w:rsidRPr="00291466">
        <w:trPr>
          <w:cantSplit/>
        </w:trPr>
        <w:tc>
          <w:tcPr>
            <w:tcW w:w="4366" w:type="dxa"/>
            <w:tcBorders>
              <w:top w:val="nil"/>
              <w:left w:val="nil"/>
              <w:bottom w:val="nil"/>
              <w:right w:val="nil"/>
            </w:tcBorders>
          </w:tcPr>
          <w:p w:rsidR="0010053B" w:rsidRPr="00887F29" w:rsidRDefault="0010053B" w:rsidP="0073413C">
            <w:pPr>
              <w:pStyle w:val="OriginalHeader"/>
              <w:suppressAutoHyphens/>
              <w:wordWrap/>
              <w:rPr>
                <w:i/>
              </w:rPr>
            </w:pPr>
            <w:r w:rsidRPr="00887F29">
              <w:rPr>
                <w:i/>
              </w:rPr>
              <w:t>Section 1. Conditions of liability based on fault</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rPr>
                <w:i/>
              </w:rPr>
            </w:pPr>
            <w:bookmarkStart w:id="165" w:name="_Toc90979206"/>
            <w:bookmarkStart w:id="166" w:name="_Toc90979400"/>
            <w:bookmarkStart w:id="167" w:name="_Toc90979449"/>
            <w:bookmarkStart w:id="168" w:name="_Toc90979488"/>
            <w:bookmarkStart w:id="169" w:name="_Toc90979527"/>
            <w:bookmarkStart w:id="170" w:name="_Toc90979674"/>
            <w:bookmarkStart w:id="171" w:name="_Toc90979713"/>
            <w:bookmarkStart w:id="172" w:name="_Toc90979760"/>
            <w:bookmarkStart w:id="173" w:name="_Toc90979828"/>
            <w:bookmarkStart w:id="174" w:name="_Toc90981382"/>
            <w:bookmarkStart w:id="175" w:name="_Toc90981414"/>
            <w:bookmarkStart w:id="176" w:name="_Toc90981475"/>
            <w:bookmarkStart w:id="177" w:name="_Toc90981519"/>
            <w:bookmarkStart w:id="178" w:name="_Toc90983798"/>
            <w:bookmarkStart w:id="179" w:name="_Toc90983823"/>
            <w:bookmarkStart w:id="180" w:name="_Toc91482561"/>
            <w:bookmarkStart w:id="181" w:name="_Toc93773583"/>
            <w:r w:rsidRPr="00A178A6">
              <w:rPr>
                <w:i/>
              </w:rPr>
              <w:t>Sección 1. Requisitos de la responsabilidad por culpa</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c>
      </w:tr>
      <w:tr w:rsidR="0010053B" w:rsidRPr="00291466">
        <w:trPr>
          <w:cantSplit/>
        </w:trPr>
        <w:tc>
          <w:tcPr>
            <w:tcW w:w="4366" w:type="dxa"/>
            <w:tcBorders>
              <w:top w:val="nil"/>
              <w:left w:val="nil"/>
              <w:bottom w:val="nil"/>
              <w:right w:val="nil"/>
            </w:tcBorders>
          </w:tcPr>
          <w:p w:rsidR="0010053B" w:rsidRPr="00887F29" w:rsidRDefault="0010053B" w:rsidP="0073413C">
            <w:pPr>
              <w:pStyle w:val="OriginalHeader"/>
              <w:suppressAutoHyphens/>
              <w:wordWrap/>
            </w:pPr>
            <w:r w:rsidRPr="00887F29">
              <w:t>Art. 4:101. Fault</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182" w:name="_Toc93773584"/>
            <w:r w:rsidRPr="00A178A6">
              <w:t>Art. 4:101. Culpa</w:t>
            </w:r>
            <w:bookmarkEnd w:id="182"/>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A person is liable on the basis of fault for inte</w:t>
            </w:r>
            <w:r w:rsidRPr="00291466">
              <w:t>n</w:t>
            </w:r>
            <w:r w:rsidRPr="00291466">
              <w:t>tional or negligent violation of the required sta</w:t>
            </w:r>
            <w:r w:rsidRPr="00291466">
              <w:t>n</w:t>
            </w:r>
            <w:r w:rsidRPr="00291466">
              <w:t>dard of conduct.</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Una persona responde con base en la culpa por la violación intencional o negligente del estándar de conducta exigible.</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4:102. Required standard of conduct</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183" w:name="_Toc93773585"/>
            <w:r w:rsidRPr="00A178A6">
              <w:t>Art. 4:102. Estándar de conducta exig</w:t>
            </w:r>
            <w:r w:rsidRPr="00A178A6">
              <w:t>i</w:t>
            </w:r>
            <w:r w:rsidRPr="00A178A6">
              <w:t>ble</w:t>
            </w:r>
            <w:bookmarkEnd w:id="183"/>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The required standard of conduct is that of the reasonable person in the circu</w:t>
            </w:r>
            <w:r w:rsidRPr="00291466">
              <w:t>m</w:t>
            </w:r>
            <w:r w:rsidRPr="00291466">
              <w:t>stances, and depends, in pa</w:t>
            </w:r>
            <w:r w:rsidRPr="00291466">
              <w:t>r</w:t>
            </w:r>
            <w:r w:rsidRPr="00291466">
              <w:t>ticular, on the nature and value of the protected interest involved, the dangerou</w:t>
            </w:r>
            <w:r w:rsidRPr="00291466">
              <w:t>s</w:t>
            </w:r>
            <w:r w:rsidRPr="00291466">
              <w:t>ness of the activity, the expertise to be expected of a pe</w:t>
            </w:r>
            <w:r w:rsidRPr="00291466">
              <w:t>r</w:t>
            </w:r>
            <w:r w:rsidRPr="00291466">
              <w:t>son carrying it on, the foreseeability of the damage, the relationship of proximity or sp</w:t>
            </w:r>
            <w:r w:rsidRPr="00291466">
              <w:t>e</w:t>
            </w:r>
            <w:r w:rsidRPr="00291466">
              <w:t>cial reliance b</w:t>
            </w:r>
            <w:r w:rsidRPr="00291466">
              <w:t>e</w:t>
            </w:r>
            <w:r w:rsidRPr="00291466">
              <w:t>tween those involved, as well as the availability and the costs of precautionary or alternative met</w:t>
            </w:r>
            <w:r w:rsidRPr="00291466">
              <w:t>h</w:t>
            </w:r>
            <w:r w:rsidRPr="00291466">
              <w:t>ods.</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El estándar de conducta exigible es el de una persona razonable que se halle en las mismas circunstancias y depende, en particular, de la naturaleza y el valor del interés protegido de que se trate, de la peligrosidad de la actividad, de la pericia exig</w:t>
            </w:r>
            <w:r w:rsidRPr="00A178A6">
              <w:t>i</w:t>
            </w:r>
            <w:r w:rsidRPr="00A178A6">
              <w:t>ble a la persona que la lleva a cabo, de la previsibilidad del daño, de la relación de proximidad o de esp</w:t>
            </w:r>
            <w:r w:rsidRPr="00A178A6">
              <w:t>e</w:t>
            </w:r>
            <w:r w:rsidRPr="00A178A6">
              <w:t>cial confianza entre las personas implicadas, así como de la disponibilidad y del coste de las medidas de precaución y de los métodos alternat</w:t>
            </w:r>
            <w:r w:rsidRPr="00A178A6">
              <w:t>i</w:t>
            </w:r>
            <w:r w:rsidRPr="00A178A6">
              <w:t>vos.</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The above standard may be adjusted when due to age, me</w:t>
            </w:r>
            <w:r w:rsidRPr="00291466">
              <w:t>n</w:t>
            </w:r>
            <w:r w:rsidRPr="00291466">
              <w:t>tal or physical disability or due to extraordinary circumstances the person cannot be expected to co</w:t>
            </w:r>
            <w:r w:rsidRPr="00291466">
              <w:t>n</w:t>
            </w:r>
            <w:r w:rsidRPr="00291466">
              <w:t>form to it.</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El estándar anteriormente indicado puede adaptarse cuando debido a la edad, a la discapacidad física o psíquica o a circunstancias extraordinarias no sea exigible que la persona de que se trate lo cumpla.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(3) Rules which prescribe or forbid certain co</w:t>
            </w:r>
            <w:r w:rsidRPr="00291466">
              <w:t>n</w:t>
            </w:r>
            <w:r w:rsidRPr="00291466">
              <w:t>duct have to be considered when establis</w:t>
            </w:r>
            <w:r w:rsidRPr="00291466">
              <w:t>h</w:t>
            </w:r>
            <w:r w:rsidRPr="00291466">
              <w:t>ing the r</w:t>
            </w:r>
            <w:r w:rsidRPr="00291466">
              <w:t>e</w:t>
            </w:r>
            <w:r w:rsidRPr="00291466">
              <w:t>quired standard of conduct.</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(3) Al establecer el estándar de conducta requerido deben tenerse en cuenta las normas que prescriben o prohíben una determinada condu</w:t>
            </w:r>
            <w:r w:rsidRPr="00A178A6">
              <w:t>c</w:t>
            </w:r>
            <w:r w:rsidRPr="00A178A6">
              <w:t>ta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4:103. Duty to protect others from da</w:t>
            </w:r>
            <w:r w:rsidRPr="00291466">
              <w:t>m</w:t>
            </w:r>
            <w:r w:rsidRPr="00291466">
              <w:t>age</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184" w:name="_Toc93773586"/>
            <w:r w:rsidRPr="00A178A6">
              <w:t>Art. 4:103. Deber de proteger a los demás de d</w:t>
            </w:r>
            <w:r w:rsidRPr="00A178A6">
              <w:t>a</w:t>
            </w:r>
            <w:r w:rsidRPr="00A178A6">
              <w:t>ños</w:t>
            </w:r>
            <w:bookmarkEnd w:id="184"/>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A duty to act positively to protect others from da</w:t>
            </w:r>
            <w:r w:rsidRPr="00291466">
              <w:t>m</w:t>
            </w:r>
            <w:r w:rsidRPr="00291466">
              <w:t>age may exist if law so provides, or if the actor creates or controls a da</w:t>
            </w:r>
            <w:r w:rsidRPr="00291466">
              <w:t>n</w:t>
            </w:r>
            <w:r w:rsidRPr="00291466">
              <w:t>gerous situation, or when there is a special relationship between parties or when the seriousness of the harm on the one side and the ease of avoiding the da</w:t>
            </w:r>
            <w:r w:rsidRPr="00291466">
              <w:t>m</w:t>
            </w:r>
            <w:r w:rsidRPr="00291466">
              <w:t>age on the other side point towards such a duty.</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Puede existir el deber de actuar positivamente para proteger a los demás de daños si así se establece legalmente, si quien actúa crea y controla una situación de peligro, si existe una especial relación entre las partes o si la gravedad del daño para una parte y la facilidad de evitarlo para la otra indican la existencia de tal d</w:t>
            </w:r>
            <w:r w:rsidRPr="00A178A6">
              <w:t>e</w:t>
            </w:r>
            <w:r w:rsidRPr="00A178A6">
              <w:t>ber.</w:t>
            </w:r>
          </w:p>
        </w:tc>
      </w:tr>
      <w:tr w:rsidR="0010053B" w:rsidRPr="008D7E57">
        <w:trPr>
          <w:cantSplit/>
        </w:trPr>
        <w:tc>
          <w:tcPr>
            <w:tcW w:w="4366" w:type="dxa"/>
            <w:tcBorders>
              <w:top w:val="nil"/>
              <w:left w:val="nil"/>
              <w:bottom w:val="nil"/>
              <w:right w:val="nil"/>
            </w:tcBorders>
          </w:tcPr>
          <w:p w:rsidR="0010053B" w:rsidRPr="0010053B" w:rsidRDefault="0010053B" w:rsidP="0073413C">
            <w:pPr>
              <w:pStyle w:val="OriginalHeader"/>
              <w:suppressAutoHyphens/>
              <w:wordWrap/>
              <w:rPr>
                <w:i/>
              </w:rPr>
            </w:pPr>
            <w:r w:rsidRPr="0010053B">
              <w:rPr>
                <w:i/>
              </w:rPr>
              <w:t>Section 2. Reversal of the burden of proving fault</w:t>
            </w:r>
          </w:p>
        </w:tc>
        <w:tc>
          <w:tcPr>
            <w:tcW w:w="340" w:type="dxa"/>
            <w:tcBorders>
              <w:top w:val="nil"/>
              <w:left w:val="nil"/>
              <w:bottom w:val="nil"/>
              <w:right w:val="nil"/>
            </w:tcBorders>
          </w:tcPr>
          <w:p w:rsidR="0010053B" w:rsidRPr="008D7E57" w:rsidRDefault="0010053B" w:rsidP="0073413C">
            <w:pPr>
              <w:pStyle w:val="TranslationHeader"/>
              <w:suppressAutoHyphens/>
              <w:wordWrap/>
              <w:rPr>
                <w:i/>
              </w:rPr>
            </w:pPr>
          </w:p>
        </w:tc>
        <w:tc>
          <w:tcPr>
            <w:tcW w:w="4366" w:type="dxa"/>
            <w:tcBorders>
              <w:top w:val="nil"/>
              <w:left w:val="nil"/>
              <w:bottom w:val="nil"/>
              <w:right w:val="nil"/>
            </w:tcBorders>
          </w:tcPr>
          <w:p w:rsidR="0010053B" w:rsidRPr="00A178A6" w:rsidRDefault="0010053B" w:rsidP="0073413C">
            <w:pPr>
              <w:pStyle w:val="TranslationHeader"/>
              <w:suppressAutoHyphens/>
              <w:wordWrap/>
              <w:rPr>
                <w:i/>
              </w:rPr>
            </w:pPr>
            <w:bookmarkStart w:id="185" w:name="_Toc90979207"/>
            <w:bookmarkStart w:id="186" w:name="_Toc90979401"/>
            <w:bookmarkStart w:id="187" w:name="_Toc90979450"/>
            <w:bookmarkStart w:id="188" w:name="_Toc90979489"/>
            <w:bookmarkStart w:id="189" w:name="_Toc90979528"/>
            <w:bookmarkStart w:id="190" w:name="_Toc90979675"/>
            <w:bookmarkStart w:id="191" w:name="_Toc90979714"/>
            <w:bookmarkStart w:id="192" w:name="_Toc90979761"/>
            <w:bookmarkStart w:id="193" w:name="_Toc90979829"/>
            <w:bookmarkStart w:id="194" w:name="_Toc90981383"/>
            <w:bookmarkStart w:id="195" w:name="_Toc90981415"/>
            <w:bookmarkStart w:id="196" w:name="_Toc90981476"/>
            <w:bookmarkStart w:id="197" w:name="_Toc90981520"/>
            <w:bookmarkStart w:id="198" w:name="_Toc90983799"/>
            <w:bookmarkStart w:id="199" w:name="_Toc90983824"/>
            <w:bookmarkStart w:id="200" w:name="_Toc91482562"/>
            <w:bookmarkStart w:id="201" w:name="_Toc93773587"/>
            <w:r w:rsidRPr="00A178A6">
              <w:rPr>
                <w:i/>
              </w:rPr>
              <w:t>Sección 2. Inversión de la carga de la prueba de la culpa</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4:201. Reversal of the burden of proving fault in general</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02" w:name="_Toc93773588"/>
            <w:r w:rsidRPr="00A178A6">
              <w:t>Art. 4:201. Inversión de la carga de la prueba de la culpa en g</w:t>
            </w:r>
            <w:r w:rsidRPr="00A178A6">
              <w:t>e</w:t>
            </w:r>
            <w:r w:rsidRPr="00A178A6">
              <w:t>neral</w:t>
            </w:r>
            <w:bookmarkEnd w:id="202"/>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The burden of proving fault may be reversed in light of the gravity of the danger presented by the activity.</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Puede invertirse la carga de la prueba de la culpa a la luz de la gravedad del peligro que la actividad en cuestión compo</w:t>
            </w:r>
            <w:r w:rsidRPr="00A178A6">
              <w:t>r</w:t>
            </w:r>
            <w:r w:rsidRPr="00A178A6">
              <w:t>ta.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The gravity of the danger is determined a</w:t>
            </w:r>
            <w:r w:rsidRPr="00291466">
              <w:t>c</w:t>
            </w:r>
            <w:r w:rsidRPr="00291466">
              <w:t>cording to the s</w:t>
            </w:r>
            <w:r w:rsidRPr="00291466">
              <w:t>e</w:t>
            </w:r>
            <w:r w:rsidRPr="00291466">
              <w:t>riousness of possible damage in such cases as well as the likel</w:t>
            </w:r>
            <w:r w:rsidRPr="00291466">
              <w:t>i</w:t>
            </w:r>
            <w:r w:rsidRPr="00291466">
              <w:t>hood that such damage might actually o</w:t>
            </w:r>
            <w:r w:rsidRPr="00291466">
              <w:t>c</w:t>
            </w:r>
            <w:r w:rsidRPr="00291466">
              <w:t>cur.</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La gravedad del peligro se determina de acuerdo con la gravedad del daño que en tales casos pueda producirse así como con la probabilidad de que tal daño llegue a suceder efect</w:t>
            </w:r>
            <w:r w:rsidRPr="00A178A6">
              <w:t>i</w:t>
            </w:r>
            <w:r w:rsidRPr="00A178A6">
              <w:t>vamente.</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lastRenderedPageBreak/>
              <w:t xml:space="preserve">Art. 4:202. </w:t>
            </w:r>
            <w:smartTag w:uri="urn:schemas-microsoft-com:office:smarttags" w:element="City">
              <w:smartTag w:uri="urn:schemas-microsoft-com:office:smarttags" w:element="place">
                <w:r w:rsidRPr="00291466">
                  <w:t>Enterprise</w:t>
                </w:r>
              </w:smartTag>
            </w:smartTag>
            <w:r w:rsidRPr="00291466">
              <w:t xml:space="preserve"> Liability</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03" w:name="_Toc93773589"/>
            <w:r w:rsidRPr="00A178A6">
              <w:t>Art. 4:202. Responsabilidad de la empresa</w:t>
            </w:r>
            <w:bookmarkEnd w:id="203"/>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A person pursuing a lasting enterprise for economic or pr</w:t>
            </w:r>
            <w:r w:rsidRPr="00291466">
              <w:t>o</w:t>
            </w:r>
            <w:r w:rsidRPr="00291466">
              <w:t>fessional purposes who uses auxiliaries or technical equi</w:t>
            </w:r>
            <w:r w:rsidRPr="00291466">
              <w:t>p</w:t>
            </w:r>
            <w:r w:rsidRPr="00291466">
              <w:t>ment is liable for any harm caused by a defect of such e</w:t>
            </w:r>
            <w:r w:rsidRPr="00291466">
              <w:t>n</w:t>
            </w:r>
            <w:r w:rsidRPr="00291466">
              <w:t>terprise or of its output unless he proves that he has co</w:t>
            </w:r>
            <w:r w:rsidRPr="00291466">
              <w:t>n</w:t>
            </w:r>
            <w:r w:rsidRPr="00291466">
              <w:t>formed to the required sta</w:t>
            </w:r>
            <w:r w:rsidRPr="00291466">
              <w:t>n</w:t>
            </w:r>
            <w:r w:rsidRPr="00291466">
              <w:t>dard of conduct.</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 xml:space="preserve">(1) La persona que se dedica de modo permanente a una actividad empresarial con fines económicos o profesionales y que emplea auxiliares o equipamiento técnico es responsable de todo daño causado por un defecto de tal empresa o de lo que en ella se produzca, a no ser que pruebe que ha cumplido con el estándar de conducta exigible. </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„Defect“ is any deviation from standards that are reasonably to be expected from the ente</w:t>
            </w:r>
            <w:r w:rsidRPr="00291466">
              <w:t>r</w:t>
            </w:r>
            <w:r w:rsidRPr="00291466">
              <w:t>prise or from its products or services.</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„Defecto” es toda desviación con respecto a los estándares que son razonablemente exigibles a la empresa o a sus productos o servicios.</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Chapter 5. Strict liability</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04" w:name="_Toc90979209"/>
            <w:bookmarkStart w:id="205" w:name="_Toc90979403"/>
            <w:bookmarkStart w:id="206" w:name="_Toc90979451"/>
            <w:bookmarkStart w:id="207" w:name="_Toc90979490"/>
            <w:bookmarkStart w:id="208" w:name="_Toc90979529"/>
            <w:bookmarkStart w:id="209" w:name="_Toc90979676"/>
            <w:bookmarkStart w:id="210" w:name="_Toc90979715"/>
            <w:bookmarkStart w:id="211" w:name="_Toc90979762"/>
            <w:bookmarkStart w:id="212" w:name="_Toc90979830"/>
            <w:bookmarkStart w:id="213" w:name="_Toc90981384"/>
            <w:bookmarkStart w:id="214" w:name="_Toc90981416"/>
            <w:bookmarkStart w:id="215" w:name="_Toc90981477"/>
            <w:bookmarkStart w:id="216" w:name="_Toc90981521"/>
            <w:bookmarkStart w:id="217" w:name="_Toc90983800"/>
            <w:bookmarkStart w:id="218" w:name="_Toc90983825"/>
            <w:bookmarkStart w:id="219" w:name="_Toc91482563"/>
            <w:bookmarkStart w:id="220" w:name="_Toc93773590"/>
            <w:r w:rsidRPr="00A178A6">
              <w:t>Capítulo 5. Responsabilidad objet</w:t>
            </w:r>
            <w:r w:rsidRPr="00A178A6">
              <w:t>i</w:t>
            </w:r>
            <w:r w:rsidRPr="00A178A6">
              <w:t>va</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5:101. Abnormally dangerous activities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21" w:name="_Toc93773591"/>
            <w:r w:rsidRPr="00A178A6">
              <w:t>Art. 5:101. Actividades anormalmente peligrosas</w:t>
            </w:r>
            <w:bookmarkEnd w:id="221"/>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A person who carries on an abnormally da</w:t>
            </w:r>
            <w:r w:rsidRPr="00291466">
              <w:t>n</w:t>
            </w:r>
            <w:r w:rsidRPr="00291466">
              <w:t>gerous activity is strictly liable for damage cha</w:t>
            </w:r>
            <w:r w:rsidRPr="00291466">
              <w:t>r</w:t>
            </w:r>
            <w:r w:rsidRPr="00291466">
              <w:t>acteristic to the risk pr</w:t>
            </w:r>
            <w:r w:rsidRPr="00291466">
              <w:t>e</w:t>
            </w:r>
            <w:r w:rsidRPr="00291466">
              <w:t>sented by the activity and resulting from it.</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La persona que lleva a cabo una actividad anormalmente peligrosa responde objetivamente por el daño característico del riesgo que tal actividad comporta y que r</w:t>
            </w:r>
            <w:r w:rsidRPr="00A178A6">
              <w:t>e</w:t>
            </w:r>
            <w:r w:rsidRPr="00A178A6">
              <w:t>sulta de ella.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An activity is abnormally dangerous if</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Una actividad es anormalmente p</w:t>
            </w:r>
            <w:r w:rsidRPr="00A178A6">
              <w:t>e</w:t>
            </w:r>
            <w:r w:rsidRPr="00A178A6">
              <w:t>ligrosa si:</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a) it creates a foreseeable and highly significant risk of damage even when all due care is exe</w:t>
            </w:r>
            <w:r w:rsidRPr="00291466">
              <w:t>r</w:t>
            </w:r>
            <w:r w:rsidRPr="00291466">
              <w:t>cised in its manag</w:t>
            </w:r>
            <w:r w:rsidRPr="00291466">
              <w:t>e</w:t>
            </w:r>
            <w:r w:rsidRPr="00291466">
              <w:t>ment and</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a) crea un riesgo previsible y significativo de daño incluso aunque se emplee todo el cuidado debido en su ejercicio y</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b) it is not a matter of common usage.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b) no es una actividad que sea objeto de uso c</w:t>
            </w:r>
            <w:r w:rsidRPr="00A178A6">
              <w:t>o</w:t>
            </w:r>
            <w:r w:rsidRPr="00A178A6">
              <w:t>mún.</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(3) A risk of damage may be significant having regard to the seriousness or the likelihood of the da</w:t>
            </w:r>
            <w:r w:rsidRPr="00291466">
              <w:t>m</w:t>
            </w:r>
            <w:r w:rsidRPr="00291466">
              <w:t>age.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(3) El riesgo de daño puede ser significativo en atención a la gravedad o a la probabil</w:t>
            </w:r>
            <w:r w:rsidRPr="00A178A6">
              <w:t>i</w:t>
            </w:r>
            <w:r w:rsidRPr="00A178A6">
              <w:t>dad del mismo.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(4) This Article does not apply to an activity which is specifically subjected to strict liability by any other provision of these Principles or any other national law or international conve</w:t>
            </w:r>
            <w:r w:rsidRPr="00291466">
              <w:t>n</w:t>
            </w:r>
            <w:r w:rsidRPr="00291466">
              <w:t>tion.</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(4) Este artículo no se aplica a una actividad sujeta</w:t>
            </w:r>
            <w:r w:rsidRPr="00A178A6" w:rsidDel="00342D29">
              <w:t xml:space="preserve"> </w:t>
            </w:r>
            <w:r w:rsidRPr="00A178A6">
              <w:t>específicamente a responsabilidad objetiva por cualquier otra dispos</w:t>
            </w:r>
            <w:r w:rsidRPr="00A178A6">
              <w:t>i</w:t>
            </w:r>
            <w:r w:rsidRPr="00A178A6">
              <w:t>ción de estos Principios o por cualquier legislación nacional o convención intern</w:t>
            </w:r>
            <w:r w:rsidRPr="00A178A6">
              <w:t>a</w:t>
            </w:r>
            <w:r w:rsidRPr="00A178A6">
              <w:t>cional.</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5:102. Other strict liabilities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22" w:name="_Toc93773592"/>
            <w:r w:rsidRPr="00A178A6">
              <w:t>Art. 5:102. Otros supuestos de responsabilidad objetiva</w:t>
            </w:r>
            <w:bookmarkEnd w:id="222"/>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National laws can provide for further categ</w:t>
            </w:r>
            <w:r w:rsidRPr="00291466">
              <w:t>o</w:t>
            </w:r>
            <w:r w:rsidRPr="00291466">
              <w:t>ries of strict liability for dangerous activities even if the activity is not abnormally dangerous.</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Las leyes nacionales pueden establecer otros supuestos de responsabilidad o</w:t>
            </w:r>
            <w:r w:rsidRPr="00A178A6">
              <w:t>b</w:t>
            </w:r>
            <w:r w:rsidRPr="00A178A6">
              <w:t>jetiva por la práctica de actividades peligrosas, incluso aunque dichas actividades no sean anormalmente pel</w:t>
            </w:r>
            <w:r w:rsidRPr="00A178A6">
              <w:t>i</w:t>
            </w:r>
            <w:r w:rsidRPr="00A178A6">
              <w:t>grosas.</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Unless national law provides otherwise, add</w:t>
            </w:r>
            <w:r w:rsidRPr="00291466">
              <w:t>i</w:t>
            </w:r>
            <w:r w:rsidRPr="00291466">
              <w:t>tional categories of strict liability can be found by analogy to other sources of comparable risk of da</w:t>
            </w:r>
            <w:r w:rsidRPr="00291466">
              <w:t>m</w:t>
            </w:r>
            <w:r w:rsidRPr="00291466">
              <w:t>age.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A menos que la ley nacional disponga de otro modo, los supuestos adicionales de responsabilidad objetiva pueden est</w:t>
            </w:r>
            <w:r w:rsidRPr="00A178A6">
              <w:t>a</w:t>
            </w:r>
            <w:r w:rsidRPr="00A178A6">
              <w:t>blecerse por analogía a otros que originen un riesgo parecido de d</w:t>
            </w:r>
            <w:r w:rsidRPr="00A178A6">
              <w:t>a</w:t>
            </w:r>
            <w:r w:rsidRPr="00A178A6">
              <w:t>ño.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pageBreakBefore/>
              <w:suppressAutoHyphens/>
              <w:wordWrap/>
            </w:pPr>
            <w:r w:rsidRPr="00291466">
              <w:lastRenderedPageBreak/>
              <w:t>Chapter 6. Liability for others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23" w:name="_Toc90979212"/>
            <w:bookmarkStart w:id="224" w:name="_Toc90979406"/>
            <w:bookmarkStart w:id="225" w:name="_Toc90979454"/>
            <w:bookmarkStart w:id="226" w:name="_Toc90979493"/>
            <w:bookmarkStart w:id="227" w:name="_Toc90979532"/>
            <w:bookmarkStart w:id="228" w:name="_Toc90979678"/>
            <w:bookmarkStart w:id="229" w:name="_Toc90979717"/>
            <w:bookmarkStart w:id="230" w:name="_Toc90979764"/>
            <w:bookmarkStart w:id="231" w:name="_Toc90979832"/>
            <w:bookmarkStart w:id="232" w:name="_Toc90981386"/>
            <w:bookmarkStart w:id="233" w:name="_Toc90981418"/>
            <w:bookmarkStart w:id="234" w:name="_Toc90981479"/>
            <w:bookmarkStart w:id="235" w:name="_Toc90981523"/>
            <w:bookmarkStart w:id="236" w:name="_Toc90983801"/>
            <w:bookmarkStart w:id="237" w:name="_Toc90983826"/>
            <w:bookmarkStart w:id="238" w:name="_Toc91482564"/>
            <w:bookmarkStart w:id="239" w:name="_Toc93773593"/>
            <w:r w:rsidRPr="00A178A6">
              <w:t>Capítulo 6. Responsabilidad por otros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6:101. Liability for minors or mentally disabled persons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40" w:name="_Toc93773594"/>
            <w:r w:rsidRPr="00A178A6">
              <w:t>Art. 6:101. Responsabilidad por los menores o por discapacitados ps</w:t>
            </w:r>
            <w:r w:rsidRPr="00A178A6">
              <w:t>í</w:t>
            </w:r>
            <w:r w:rsidRPr="00A178A6">
              <w:t>quicos</w:t>
            </w:r>
            <w:bookmarkEnd w:id="240"/>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 xml:space="preserve">A person in charge of another who is a minor or subject to mental disability is liable for damage caused by the other unless the person in charge shows that he </w:t>
            </w:r>
            <w:r w:rsidR="00AF23EF">
              <w:t xml:space="preserve">has </w:t>
            </w:r>
            <w:r w:rsidRPr="00291466">
              <w:t>conformed to the required sta</w:t>
            </w:r>
            <w:r w:rsidRPr="00291466">
              <w:t>n</w:t>
            </w:r>
            <w:r w:rsidRPr="00291466">
              <w:t>dard of conduct in supervision.</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La persona que tiene a su cargo otra persona que es menor o sufre discapacidad psíquica responde por el daño causado por esa otra persona a menos que demuestre que ella misma cumplió con el estándar de conducta que le era exigible en su supervisión.</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6:102. Liability for auxiliaries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41" w:name="_Toc93773595"/>
            <w:r w:rsidRPr="00A178A6">
              <w:t>Art. 6:102. Responsabilidad por los auxiliares</w:t>
            </w:r>
            <w:bookmarkEnd w:id="241"/>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A person is liable for damage caused by his auxiliaries acting within the scope of their fun</w:t>
            </w:r>
            <w:r w:rsidRPr="00291466">
              <w:t>c</w:t>
            </w:r>
            <w:r w:rsidRPr="00291466">
              <w:t>tions provided that they violated the required standard of co</w:t>
            </w:r>
            <w:r w:rsidRPr="00291466">
              <w:t>n</w:t>
            </w:r>
            <w:r w:rsidRPr="00291466">
              <w:t>duct.</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Una persona responde por el daño causado por sus auxiliares en el ejercicio de sus funciones siempre que éstos hayan violado el estándar de conducta ex</w:t>
            </w:r>
            <w:r w:rsidRPr="00A178A6">
              <w:t>i</w:t>
            </w:r>
            <w:r w:rsidRPr="00A178A6">
              <w:t>gible.</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An independent contractor is not regarded as an auxiliary for the purposes of this Art</w:t>
            </w:r>
            <w:r w:rsidRPr="00291466">
              <w:t>i</w:t>
            </w:r>
            <w:r w:rsidRPr="00291466">
              <w:t>cle.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El contratista independiente no se considera auxiliar a los efectos de este artículo.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TITLE IV. Defences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42" w:name="_Toc90979214"/>
            <w:bookmarkStart w:id="243" w:name="_Toc90979408"/>
            <w:bookmarkStart w:id="244" w:name="_Toc90979456"/>
            <w:bookmarkStart w:id="245" w:name="_Toc90979495"/>
            <w:bookmarkStart w:id="246" w:name="_Toc90979534"/>
            <w:bookmarkStart w:id="247" w:name="_Toc90979679"/>
            <w:bookmarkStart w:id="248" w:name="_Toc90979718"/>
            <w:bookmarkStart w:id="249" w:name="_Toc90979765"/>
            <w:bookmarkStart w:id="250" w:name="_Toc90979833"/>
            <w:bookmarkStart w:id="251" w:name="_Toc90981387"/>
            <w:bookmarkStart w:id="252" w:name="_Toc90981419"/>
            <w:bookmarkStart w:id="253" w:name="_Toc90981480"/>
            <w:bookmarkStart w:id="254" w:name="_Toc90981524"/>
            <w:bookmarkStart w:id="255" w:name="_Toc90983802"/>
            <w:bookmarkStart w:id="256" w:name="_Toc90983827"/>
            <w:bookmarkStart w:id="257" w:name="_Toc91482565"/>
            <w:bookmarkStart w:id="258" w:name="_Toc93773596"/>
            <w:r w:rsidRPr="00A178A6">
              <w:t>TÍTULO IV. Causas de exoner</w:t>
            </w:r>
            <w:r w:rsidRPr="00A178A6">
              <w:t>a</w:t>
            </w:r>
            <w:r w:rsidRPr="00A178A6">
              <w:t>ción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Chapter 7. Defences in general</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59" w:name="_Toc90979216"/>
            <w:bookmarkStart w:id="260" w:name="_Toc90979410"/>
            <w:bookmarkStart w:id="261" w:name="_Toc90979458"/>
            <w:bookmarkStart w:id="262" w:name="_Toc90979497"/>
            <w:bookmarkStart w:id="263" w:name="_Toc90979536"/>
            <w:bookmarkStart w:id="264" w:name="_Toc90979681"/>
            <w:bookmarkStart w:id="265" w:name="_Toc90979720"/>
            <w:bookmarkStart w:id="266" w:name="_Toc90979767"/>
            <w:bookmarkStart w:id="267" w:name="_Toc90979834"/>
            <w:bookmarkStart w:id="268" w:name="_Toc90981388"/>
            <w:bookmarkStart w:id="269" w:name="_Toc90981420"/>
            <w:bookmarkStart w:id="270" w:name="_Toc90981481"/>
            <w:bookmarkStart w:id="271" w:name="_Toc90981525"/>
            <w:bookmarkStart w:id="272" w:name="_Toc90983803"/>
            <w:bookmarkStart w:id="273" w:name="_Toc90983828"/>
            <w:bookmarkStart w:id="274" w:name="_Toc91482566"/>
            <w:bookmarkStart w:id="275" w:name="_Toc93773597"/>
            <w:r w:rsidRPr="00A178A6">
              <w:t>Capítulo 7. Causas de exoneración en general</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7:101. Defences based on justifications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76" w:name="_Toc93773598"/>
            <w:r w:rsidRPr="00A178A6">
              <w:t>Art. 7:101. Causas de justific</w:t>
            </w:r>
            <w:r w:rsidRPr="00A178A6">
              <w:t>a</w:t>
            </w:r>
            <w:r w:rsidRPr="00A178A6">
              <w:t>ción</w:t>
            </w:r>
            <w:bookmarkEnd w:id="276"/>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Liability can be excluded if and to the extent that the actor acted legit</w:t>
            </w:r>
            <w:r w:rsidRPr="00291466">
              <w:t>i</w:t>
            </w:r>
            <w:r w:rsidRPr="00291466">
              <w:t>mately</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 xml:space="preserve"> (1) Puede excluirse la responsabilidad de quien ha actuado legítimamente en la medida en que lo haya hecho: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a) in defence of his own protected interest against an unla</w:t>
            </w:r>
            <w:r w:rsidRPr="00291466">
              <w:t>w</w:t>
            </w:r>
            <w:r w:rsidRPr="00291466">
              <w:t>ful attack (self-defence),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a) en defensa de un interés protegido propio contra un ataque antijurídico (legítima defensa),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b) under necessity,</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b) por estado de necesidad,</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c) because the help of the a</w:t>
            </w:r>
            <w:r w:rsidRPr="00291466">
              <w:t>u</w:t>
            </w:r>
            <w:r w:rsidRPr="00291466">
              <w:t>thorities could not be obtained in time (self-help),</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c) porque no pudo obtener la ayuda de las autoridades a tiempo (auto-ayuda),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d) with the consent of the victim, or where the latter has assumed the risk of being harmed, or</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d) con el consentimiento de la víctima, o si ésta asumió el riesgo de resultar dañ</w:t>
            </w:r>
            <w:r w:rsidRPr="00A178A6">
              <w:t>a</w:t>
            </w:r>
            <w:r w:rsidRPr="00A178A6">
              <w:t>da, 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e) by virtue of lawful authority, such as a licence.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e) en virtud de una autorización legítima como, por ejemplo, la lice</w:t>
            </w:r>
            <w:r w:rsidRPr="00A178A6">
              <w:t>n</w:t>
            </w:r>
            <w:r w:rsidRPr="00A178A6">
              <w:t>cia.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Whether liability is excluded depends upon the weight of these justifications on the one hand and the conditions of l</w:t>
            </w:r>
            <w:r w:rsidRPr="00291466">
              <w:t>i</w:t>
            </w:r>
            <w:r w:rsidRPr="00291466">
              <w:t>ability on the other.</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Que la exoneración sea total o no depende, de una parte, de la importancia de esas causas de justificación y, de la otra, de los presupuestos de la responsabil</w:t>
            </w:r>
            <w:r w:rsidRPr="00A178A6">
              <w:t>i</w:t>
            </w:r>
            <w:r w:rsidRPr="00A178A6">
              <w:t>dad.</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(3) In extraordinary cases, liabi</w:t>
            </w:r>
            <w:r w:rsidRPr="00291466">
              <w:t>l</w:t>
            </w:r>
            <w:r w:rsidRPr="00291466">
              <w:t>ity may instead be reduced.</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(3) En casos extraordinarios, la responsabilidad podrá ser simplemente reducida.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7:102. Defences against strict liability</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77" w:name="_Toc93773599"/>
            <w:r w:rsidRPr="00A178A6">
              <w:t>Art. 7:102. Causas de exoneración en casos de responsabilidad objet</w:t>
            </w:r>
            <w:r w:rsidRPr="00A178A6">
              <w:t>i</w:t>
            </w:r>
            <w:r w:rsidRPr="00A178A6">
              <w:t>va</w:t>
            </w:r>
            <w:bookmarkEnd w:id="277"/>
            <w:r w:rsidRPr="00A178A6">
              <w:t xml:space="preserve"> </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Strict liability can be e</w:t>
            </w:r>
            <w:r w:rsidRPr="00291466">
              <w:t>x</w:t>
            </w:r>
            <w:r w:rsidRPr="00291466">
              <w:t>cluded or reduced if the injury was caused by an unforeseeable and irr</w:t>
            </w:r>
            <w:r w:rsidRPr="00291466">
              <w:t>e</w:t>
            </w:r>
            <w:r w:rsidRPr="00291466">
              <w:t>sistible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La responsabilidad objetiva puede ser objeto de exoneración total o parcial si el daño fue causado por una imprevisible e irr</w:t>
            </w:r>
            <w:r w:rsidRPr="00A178A6">
              <w:t>e</w:t>
            </w:r>
            <w:r w:rsidRPr="00A178A6">
              <w:t>sistible</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a) force of nature (force m</w:t>
            </w:r>
            <w:r w:rsidRPr="00291466">
              <w:t>a</w:t>
            </w:r>
            <w:r w:rsidRPr="00291466">
              <w:t>jeure), or</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a) fuerza de la naturaleza (fuerza m</w:t>
            </w:r>
            <w:r w:rsidRPr="00A178A6">
              <w:t>a</w:t>
            </w:r>
            <w:r w:rsidRPr="00A178A6">
              <w:t>yor), 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b) conduct of a third party.</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b) conducta de un tercero.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lastRenderedPageBreak/>
              <w:t>(2) Whether strict liability is e</w:t>
            </w:r>
            <w:r w:rsidRPr="00291466">
              <w:t>x</w:t>
            </w:r>
            <w:r w:rsidRPr="00291466">
              <w:t>cluded or reduced, and if so, to what extent, depends upon the weight of the external influence on the one hand and the scope of liabi</w:t>
            </w:r>
            <w:r w:rsidRPr="00291466">
              <w:t>l</w:t>
            </w:r>
            <w:r w:rsidRPr="00291466">
              <w:t>ity (Article 3:201) on the other.</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Que la exoneración de responsabilidad objetiva sea total o parcial y, en caso de reducción, su extensión, dependen, de una parte, de la importancia de la influencia externa y, de otra, del alcance de la responsabilidad (art</w:t>
            </w:r>
            <w:r w:rsidRPr="00A178A6">
              <w:t>í</w:t>
            </w:r>
            <w:r w:rsidRPr="00A178A6">
              <w:t>culo 3:201).</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(3) When reduced according to paragraph (1)(b), strict liability and any liability of the third party are solidary in acco</w:t>
            </w:r>
            <w:r w:rsidRPr="00291466">
              <w:t>r</w:t>
            </w:r>
            <w:r w:rsidRPr="00291466">
              <w:t>dance with Article 9:101 (1)(b).</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(3) En el caso de la reducción prevista en el apartado (1)(b), la responsabilidad objetiva y cualquier tipo de responsabil</w:t>
            </w:r>
            <w:r w:rsidRPr="00A178A6">
              <w:t>i</w:t>
            </w:r>
            <w:r w:rsidRPr="00A178A6">
              <w:t>dad del tercero son solidarias conforme a lo dispuesto en el artículo 9:101 (1)(b).</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Chapter 8. Contributory conduct or activity</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78" w:name="_Toc90979218"/>
            <w:bookmarkStart w:id="279" w:name="_Toc90979412"/>
            <w:bookmarkStart w:id="280" w:name="_Toc90979460"/>
            <w:bookmarkStart w:id="281" w:name="_Toc90979499"/>
            <w:bookmarkStart w:id="282" w:name="_Toc90979538"/>
            <w:bookmarkStart w:id="283" w:name="_Toc90979683"/>
            <w:bookmarkStart w:id="284" w:name="_Toc90979722"/>
            <w:bookmarkStart w:id="285" w:name="_Toc90979769"/>
            <w:bookmarkStart w:id="286" w:name="_Toc90979836"/>
            <w:bookmarkStart w:id="287" w:name="_Toc90981390"/>
            <w:bookmarkStart w:id="288" w:name="_Toc90981422"/>
            <w:bookmarkStart w:id="289" w:name="_Toc90981483"/>
            <w:bookmarkStart w:id="290" w:name="_Toc90981526"/>
            <w:bookmarkStart w:id="291" w:name="_Toc90983804"/>
            <w:bookmarkStart w:id="292" w:name="_Toc90983829"/>
            <w:bookmarkStart w:id="293" w:name="_Toc91482567"/>
            <w:bookmarkStart w:id="294" w:name="_Toc93773600"/>
            <w:r w:rsidRPr="00A178A6">
              <w:t>Capítulo 8. Conducta o actividad concurrente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8:101. Contributory conduct or activity of the victim</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95" w:name="_Toc93773601"/>
            <w:r w:rsidRPr="00A178A6">
              <w:t>Art. 8:101. Conducta o actividad concurrente de la víctima</w:t>
            </w:r>
            <w:bookmarkEnd w:id="295"/>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Liability can be excluded or reduced to such extent as is considered just having regard to the victim’s contributory fault and to any other ma</w:t>
            </w:r>
            <w:r w:rsidRPr="00291466">
              <w:t>t</w:t>
            </w:r>
            <w:r w:rsidRPr="00291466">
              <w:t>ters which would be relevant to establish or r</w:t>
            </w:r>
            <w:r w:rsidRPr="00291466">
              <w:t>e</w:t>
            </w:r>
            <w:r w:rsidRPr="00291466">
              <w:t>duce liability of the victim if he were the tortfe</w:t>
            </w:r>
            <w:r w:rsidRPr="00291466">
              <w:t>a</w:t>
            </w:r>
            <w:r w:rsidRPr="00291466">
              <w:t>sor.</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Puede excluirse o reducirse la responsabilidad en la medida en que se considere justo en atención a la culpa concurrente de la víctima y a cualesquiera otras circunstancias que serían relevantes para establecer o reducir la responsabilidad de la víctima si fuera la causante del daño.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Where damages are claimed with respect to the death of a person, his conduct or activity excludes or reduces liability a</w:t>
            </w:r>
            <w:r w:rsidRPr="00291466">
              <w:t>c</w:t>
            </w:r>
            <w:r w:rsidRPr="00291466">
              <w:t>cording to para. 1.</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 xml:space="preserve"> (2) Si se solicita la indemnización con relación a la muerte de una persona, su conducta o actividad excluye o reduce la responsabilidad conforme a lo dispuesto en el apartado 1.</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(3) The contributory conduct or activity of an auxiliary of the vi</w:t>
            </w:r>
            <w:r w:rsidRPr="00291466">
              <w:t>c</w:t>
            </w:r>
            <w:r w:rsidRPr="00291466">
              <w:t>tim excludes or reduces the damages recoverable by the la</w:t>
            </w:r>
            <w:r w:rsidRPr="00291466">
              <w:t>t</w:t>
            </w:r>
            <w:r w:rsidRPr="00291466">
              <w:t>ter according to para. 1.</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(3) La conducta o actividad concurrente de un auxiliar de la víctima excluye o reduce la indemnización que ésta puede reclamar a conforme a lo dispuesto en el apart</w:t>
            </w:r>
            <w:r w:rsidRPr="00A178A6">
              <w:t>a</w:t>
            </w:r>
            <w:r w:rsidRPr="00A178A6">
              <w:t xml:space="preserve">do 1. </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TITLE V. Multiple Tortfeasors</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296" w:name="_Toc90979220"/>
            <w:bookmarkStart w:id="297" w:name="_Toc90979414"/>
            <w:bookmarkStart w:id="298" w:name="_Toc90979462"/>
            <w:bookmarkStart w:id="299" w:name="_Toc90979501"/>
            <w:bookmarkStart w:id="300" w:name="_Toc90979540"/>
            <w:bookmarkStart w:id="301" w:name="_Toc90979685"/>
            <w:bookmarkStart w:id="302" w:name="_Toc90979724"/>
            <w:bookmarkStart w:id="303" w:name="_Toc90979771"/>
            <w:bookmarkStart w:id="304" w:name="_Toc90979838"/>
            <w:bookmarkStart w:id="305" w:name="_Toc90981392"/>
            <w:bookmarkStart w:id="306" w:name="_Toc90981423"/>
            <w:bookmarkStart w:id="307" w:name="_Toc90981484"/>
            <w:bookmarkStart w:id="308" w:name="_Toc90981527"/>
            <w:bookmarkStart w:id="309" w:name="_Toc90983805"/>
            <w:bookmarkStart w:id="310" w:name="_Toc90983830"/>
            <w:bookmarkStart w:id="311" w:name="_Toc91482568"/>
            <w:bookmarkStart w:id="312" w:name="_Toc93773602"/>
            <w:r w:rsidRPr="00A178A6">
              <w:t>TÍTULO V. Pluralidad de causa</w:t>
            </w:r>
            <w:r w:rsidRPr="00A178A6">
              <w:t>n</w:t>
            </w:r>
            <w:r w:rsidRPr="00A178A6">
              <w:t>tes del daño</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Chapter 9. Multiple Tortfeasors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313" w:name="_Toc90979222"/>
            <w:bookmarkStart w:id="314" w:name="_Toc90979416"/>
            <w:bookmarkStart w:id="315" w:name="_Toc90979464"/>
            <w:bookmarkStart w:id="316" w:name="_Toc90979503"/>
            <w:bookmarkStart w:id="317" w:name="_Toc90979542"/>
            <w:bookmarkStart w:id="318" w:name="_Toc90979687"/>
            <w:bookmarkStart w:id="319" w:name="_Toc90979726"/>
            <w:bookmarkStart w:id="320" w:name="_Toc90979773"/>
            <w:bookmarkStart w:id="321" w:name="_Toc90979840"/>
            <w:bookmarkStart w:id="322" w:name="_Toc90981394"/>
            <w:bookmarkStart w:id="323" w:name="_Toc90981424"/>
            <w:bookmarkStart w:id="324" w:name="_Toc90981485"/>
            <w:bookmarkStart w:id="325" w:name="_Toc90981528"/>
            <w:bookmarkStart w:id="326" w:name="_Toc90983806"/>
            <w:bookmarkStart w:id="327" w:name="_Toc90983831"/>
            <w:bookmarkStart w:id="328" w:name="_Toc91482569"/>
            <w:bookmarkStart w:id="329" w:name="_Toc93773603"/>
            <w:r w:rsidRPr="00A178A6">
              <w:t>Capítulo 9. Pluralidad de causa</w:t>
            </w:r>
            <w:r w:rsidRPr="00A178A6">
              <w:t>n</w:t>
            </w:r>
            <w:r w:rsidRPr="00A178A6">
              <w:t>tes del daño</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9:101 Solidary and several liability: rel</w:t>
            </w:r>
            <w:r w:rsidRPr="00291466">
              <w:t>a</w:t>
            </w:r>
            <w:r w:rsidRPr="00291466">
              <w:t>tion between victim and multiple tortfeasors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330" w:name="_Toc93773604"/>
            <w:r w:rsidRPr="00A178A6">
              <w:t>Art. 9:101 Solidaridad y parciariedad: relación entre la víctima y la pluralidad de causantes del daño</w:t>
            </w:r>
            <w:bookmarkEnd w:id="330"/>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Liability is solidary where the whole or a di</w:t>
            </w:r>
            <w:r w:rsidRPr="00291466">
              <w:t>s</w:t>
            </w:r>
            <w:r w:rsidRPr="00291466">
              <w:t>tinct part of the damage suffered by the victim is attributable to two or more pe</w:t>
            </w:r>
            <w:r w:rsidRPr="00291466">
              <w:t>r</w:t>
            </w:r>
            <w:r w:rsidRPr="00291466">
              <w:t>sons. Liability is solidary where:</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La responsabilidad es solidaria si todo el daño sufrido por la víctima o una parte diferenciada del mismo es imputable a dos o más personas. La responsabilidad será solidaria si:</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a) a person knowingly participates in or inst</w:t>
            </w:r>
            <w:r w:rsidRPr="00291466">
              <w:t>i</w:t>
            </w:r>
            <w:r w:rsidRPr="00291466">
              <w:t>gates or encou</w:t>
            </w:r>
            <w:r w:rsidRPr="00291466">
              <w:t>r</w:t>
            </w:r>
            <w:r w:rsidRPr="00291466">
              <w:t>ages wrongdoing by others which causes damage to the vi</w:t>
            </w:r>
            <w:r w:rsidRPr="00291466">
              <w:t>c</w:t>
            </w:r>
            <w:r w:rsidRPr="00291466">
              <w:t>tim; or</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a) una persona participa a sabiendas en la actuación ilícita de otros que causa daño a la víctima, o la instiga o estim</w:t>
            </w:r>
            <w:r w:rsidRPr="00A178A6">
              <w:t>u</w:t>
            </w:r>
            <w:r w:rsidRPr="00A178A6">
              <w:t xml:space="preserve">la; </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b) one person’s independent behaviour or acti</w:t>
            </w:r>
            <w:r w:rsidRPr="00291466">
              <w:t>v</w:t>
            </w:r>
            <w:r w:rsidRPr="00291466">
              <w:t>ity causes damage to the victim and the same damage is also attribu</w:t>
            </w:r>
            <w:r w:rsidRPr="00291466">
              <w:t>t</w:t>
            </w:r>
            <w:r w:rsidRPr="00291466">
              <w:t>able to another person.</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b) el comportamiento o actividad independiente de una persona causa daño a la víctima y el mismo daño es también imputable a otra persona;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c) a person is responsible for damage caused by an auxiliary in circumstances where the au</w:t>
            </w:r>
            <w:r w:rsidRPr="00291466">
              <w:t>x</w:t>
            </w:r>
            <w:r w:rsidRPr="00291466">
              <w:t>iliary is also liable.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c) una persona es responsable por el daño causado por un auxiliar en circunstancias tales que también el auxiliar es respons</w:t>
            </w:r>
            <w:r w:rsidRPr="00A178A6">
              <w:t>a</w:t>
            </w:r>
            <w:r w:rsidRPr="00A178A6">
              <w:t>ble.</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lastRenderedPageBreak/>
              <w:t>(2) Where persons are subject to solidary liabi</w:t>
            </w:r>
            <w:r w:rsidRPr="00291466">
              <w:t>l</w:t>
            </w:r>
            <w:r w:rsidRPr="00291466">
              <w:t>ity, the victim may claim full compe</w:t>
            </w:r>
            <w:r w:rsidRPr="00291466">
              <w:t>n</w:t>
            </w:r>
            <w:r w:rsidRPr="00291466">
              <w:t>sation from any one or more of them, pr</w:t>
            </w:r>
            <w:r w:rsidRPr="00291466">
              <w:t>o</w:t>
            </w:r>
            <w:r w:rsidRPr="00291466">
              <w:t>vided that the victim may not r</w:t>
            </w:r>
            <w:r w:rsidRPr="00291466">
              <w:t>e</w:t>
            </w:r>
            <w:r w:rsidRPr="00291466">
              <w:t>cover more than the full amount of the damage suffered by him.</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Cuando varias personas se hallan sujetas a responsabilidad solidaria, la víctima puede reclamar toda la indemnización de una o varias de ellas, con tal que no obtenga mayor indemnización que la correspondiente al importe total del daño sufr</w:t>
            </w:r>
            <w:r w:rsidRPr="00A178A6">
              <w:t>i</w:t>
            </w:r>
            <w:r w:rsidRPr="00A178A6">
              <w:t>do.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(3) Damage is the same damage for the pu</w:t>
            </w:r>
            <w:r w:rsidRPr="00291466">
              <w:t>r</w:t>
            </w:r>
            <w:r w:rsidRPr="00291466">
              <w:t>poses of paragraph (1)(b) above when there is no re</w:t>
            </w:r>
            <w:r w:rsidRPr="00291466">
              <w:t>a</w:t>
            </w:r>
            <w:r w:rsidRPr="00291466">
              <w:t>sonable basis for attributing only part of it to each of a number of persons liable to the vi</w:t>
            </w:r>
            <w:r w:rsidRPr="00291466">
              <w:t>c</w:t>
            </w:r>
            <w:r w:rsidRPr="00291466">
              <w:t>tim. For this purpose it is for the person asserting that the da</w:t>
            </w:r>
            <w:r w:rsidRPr="00291466">
              <w:t>m</w:t>
            </w:r>
            <w:r w:rsidRPr="00291466">
              <w:t>age is not the same to show that it is not. Where there is such a basis, liability is se</w:t>
            </w:r>
            <w:r w:rsidRPr="00291466">
              <w:t>v</w:t>
            </w:r>
            <w:r w:rsidRPr="00291466">
              <w:t>eral, that is to say, each person is liable to the victim only for the part of the damage a</w:t>
            </w:r>
            <w:r w:rsidRPr="00291466">
              <w:t>t</w:t>
            </w:r>
            <w:r w:rsidRPr="00291466">
              <w:t>tributable to him.</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(3) Se considera que un daño es el mismo daño a los efectos del apartado (1)(b) anterior si no existe una base r</w:t>
            </w:r>
            <w:r w:rsidRPr="00A178A6">
              <w:t>a</w:t>
            </w:r>
            <w:r w:rsidRPr="00A178A6">
              <w:t>zonable para imputar sólo una parte del mismo a cada una de las personas r</w:t>
            </w:r>
            <w:r w:rsidRPr="00A178A6">
              <w:t>e</w:t>
            </w:r>
            <w:r w:rsidRPr="00A178A6">
              <w:t xml:space="preserve">sponsables ante </w:t>
            </w:r>
            <w:smartTag w:uri="urn:schemas-microsoft-com:office:smarttags" w:element="PersonName">
              <w:smartTagPr>
                <w:attr w:name="ProductID" w:val="la v￭ctima. A"/>
              </w:smartTagPr>
              <w:r w:rsidRPr="00A178A6">
                <w:t>la víctima. A</w:t>
              </w:r>
            </w:smartTag>
            <w:r w:rsidRPr="00A178A6">
              <w:t xml:space="preserve"> tal efecto, la persona que afirma que el daño no es el mismo soporta la carga de </w:t>
            </w:r>
            <w:smartTag w:uri="urn:schemas-microsoft-com:office:smarttags" w:element="PersonName">
              <w:smartTagPr>
                <w:attr w:name="ProductID" w:val="la prueba. Si"/>
              </w:smartTagPr>
              <w:r w:rsidRPr="00A178A6">
                <w:t>la prueba. Si</w:t>
              </w:r>
            </w:smartTag>
            <w:r w:rsidRPr="00A178A6">
              <w:t xml:space="preserve"> tal base razonable existe, la responsabil</w:t>
            </w:r>
            <w:r w:rsidRPr="00A178A6">
              <w:t>i</w:t>
            </w:r>
            <w:r w:rsidRPr="00A178A6">
              <w:t>dad es parciaria, es decir, cada persona responde ante la víctima sólo por la parte del daño que le es imput</w:t>
            </w:r>
            <w:r w:rsidRPr="00A178A6">
              <w:t>a</w:t>
            </w:r>
            <w:r w:rsidRPr="00A178A6">
              <w:t>ble.</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9:102 Relation between persons subject to solidary liability</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331" w:name="_Toc93773605"/>
            <w:r w:rsidRPr="00A178A6">
              <w:t>Art. 9:102 La relación entre las personas sujetas a responsabilidad sol</w:t>
            </w:r>
            <w:r w:rsidRPr="00A178A6">
              <w:t>i</w:t>
            </w:r>
            <w:r w:rsidRPr="00A178A6">
              <w:t>daria</w:t>
            </w:r>
            <w:bookmarkEnd w:id="331"/>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A person subject to solidary liability may r</w:t>
            </w:r>
            <w:r w:rsidRPr="00291466">
              <w:t>e</w:t>
            </w:r>
            <w:r w:rsidRPr="00291466">
              <w:t>cover a contrib</w:t>
            </w:r>
            <w:r w:rsidRPr="00291466">
              <w:t>u</w:t>
            </w:r>
            <w:r w:rsidRPr="00291466">
              <w:t>tion from any other person liable to the victim in respect of the same damage. This right is without prejudice to any co</w:t>
            </w:r>
            <w:r w:rsidRPr="00291466">
              <w:t>n</w:t>
            </w:r>
            <w:r w:rsidRPr="00291466">
              <w:t>tract between them determining the allocation of the loss or to any statutory provision or to any right to recover by reason of subrogation [cessio legis] or on the basis of unjust enrichment.</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 xml:space="preserve"> (1) La persona sujeta a responsabilidad solidaria tiene derecho de regreso frente a cualquier otra persona que sea responsable ante la víctima por el mismo daño. Este derecho se establece sin perjuicio de lo que disponga sobre la distribución de la pérdida cualquier contrato celebrado entre ellas o cualquier disposición legal o de un derecho de reembolso en virtud de la subrogación [cessio legis] o con base en el enriquecimiento injusto.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Subject to paragraph (3) of this Article, the amount of the contribution shall be what is co</w:t>
            </w:r>
            <w:r w:rsidRPr="00291466">
              <w:t>n</w:t>
            </w:r>
            <w:r w:rsidRPr="00291466">
              <w:t>sidered just in the light of the relative responsibi</w:t>
            </w:r>
            <w:r w:rsidRPr="00291466">
              <w:t>l</w:t>
            </w:r>
            <w:r w:rsidRPr="00291466">
              <w:t>ity for the damage of the persons liable, having regard to their respective degrees of fault and to any other matters which are relevant to establish or reduce their liabi</w:t>
            </w:r>
            <w:r w:rsidRPr="00291466">
              <w:t>l</w:t>
            </w:r>
            <w:r w:rsidRPr="00291466">
              <w:t>ity. A contribution may amount to full indemnification. If it is not possible to determine the relative responsibility of the pe</w:t>
            </w:r>
            <w:r w:rsidRPr="00291466">
              <w:t>r</w:t>
            </w:r>
            <w:r w:rsidRPr="00291466">
              <w:t>sons liable they are to be treated as equally respons</w:t>
            </w:r>
            <w:r w:rsidRPr="00291466">
              <w:t>i</w:t>
            </w:r>
            <w:r w:rsidRPr="00291466">
              <w:t>ble.</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 xml:space="preserve">(2) De acuerdo con lo dispuesto en el apartado (3) de este artículo, la cuota de ese derecho de regreso será la que se considere justa a la luz de las respectivas responsabilidades por el daño, en consideración a sus culpas respectivas y a cualquier otro aspecto relevante para establecer o reducir </w:t>
            </w:r>
            <w:smartTag w:uri="urn:schemas-microsoft-com:office:smarttags" w:element="PersonName">
              <w:smartTagPr>
                <w:attr w:name="ProductID" w:val="la responsabilidad. El"/>
              </w:smartTagPr>
              <w:r w:rsidRPr="00A178A6">
                <w:t>la responsabilidad. El</w:t>
              </w:r>
            </w:smartTag>
            <w:r w:rsidRPr="00A178A6">
              <w:t xml:space="preserve"> importe del regreso puede ascender al importe total de </w:t>
            </w:r>
            <w:smartTag w:uri="urn:schemas-microsoft-com:office:smarttags" w:element="PersonName">
              <w:smartTagPr>
                <w:attr w:name="ProductID" w:val="la indemnizaci￳n. Si"/>
              </w:smartTagPr>
              <w:r w:rsidRPr="00A178A6">
                <w:t>la indemnización. Si</w:t>
              </w:r>
            </w:smartTag>
            <w:r w:rsidRPr="00A178A6">
              <w:t xml:space="preserve"> no puede determinarse la responsabilidad que corresponde a cada una de las personas responsables, se considerarán respons</w:t>
            </w:r>
            <w:r w:rsidRPr="00A178A6">
              <w:t>a</w:t>
            </w:r>
            <w:r w:rsidRPr="00A178A6">
              <w:t>bles por igual.</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(3) Where a person is liable for damage done by an auxiliary under Article 9:101 he is to be treated as bearing the entire share of the r</w:t>
            </w:r>
            <w:r w:rsidRPr="00291466">
              <w:t>e</w:t>
            </w:r>
            <w:r w:rsidRPr="00291466">
              <w:t>sponsibility a</w:t>
            </w:r>
            <w:r w:rsidRPr="00291466">
              <w:t>t</w:t>
            </w:r>
            <w:r w:rsidRPr="00291466">
              <w:t>tributable to the auxiliary for the purposes of contribution b</w:t>
            </w:r>
            <w:r w:rsidRPr="00291466">
              <w:t>e</w:t>
            </w:r>
            <w:r w:rsidRPr="00291466">
              <w:t>tween him and any tortfeasor other than the auxi</w:t>
            </w:r>
            <w:r w:rsidRPr="00291466">
              <w:t>l</w:t>
            </w:r>
            <w:r w:rsidRPr="00291466">
              <w:t>iary.</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(3) Si una persona es responsable por el daño causado por un auxiliar de acuerdo con lo dispuesto en el artículo 9:101, se considerará responsable por toda la cuota imputable al auxiliar a los efectos de distribuir la responsabilidad entre él y cualquier otro causante del daño distinto de dicho auxiliar.</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lastRenderedPageBreak/>
              <w:t>(4) The obligation to make contribution is se</w:t>
            </w:r>
            <w:r w:rsidRPr="00291466">
              <w:t>v</w:t>
            </w:r>
            <w:r w:rsidRPr="00291466">
              <w:t>eral, that is to say, the person subject to it is liable only for his apportioned share of respons</w:t>
            </w:r>
            <w:r w:rsidRPr="00291466">
              <w:t>i</w:t>
            </w:r>
            <w:r w:rsidRPr="00291466">
              <w:t>bility for the damage under this Article; but where it is not possible to enforce a judgment for contr</w:t>
            </w:r>
            <w:r w:rsidRPr="00291466">
              <w:t>i</w:t>
            </w:r>
            <w:r w:rsidRPr="00291466">
              <w:t>bution against one person liable his share is to be reallocated among the other persons liable in proportion to their respons</w:t>
            </w:r>
            <w:r w:rsidRPr="00291466">
              <w:t>i</w:t>
            </w:r>
            <w:r w:rsidRPr="00291466">
              <w:t>bility.</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(4) La obligación de responder en vía de regreso por la parte respectiva es parciaria, es decir, la persona obligada r</w:t>
            </w:r>
            <w:r w:rsidRPr="00A178A6">
              <w:t>e</w:t>
            </w:r>
            <w:r w:rsidRPr="00A178A6">
              <w:t>sponde sólo por la cuota de responsabilidad que, según este artículo, le corresponda por el daño; pero si no puede ejecutarse la sentencia que establece la condena de la persona responsable del daño en vía de regreso, su parte debe ser redistribuida entre las demás en proporción a sus respectivas cu</w:t>
            </w:r>
            <w:r w:rsidRPr="00A178A6">
              <w:t>o</w:t>
            </w:r>
            <w:r w:rsidRPr="00A178A6">
              <w:t>tas.</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TITLE VI. Remedies</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332" w:name="_Toc90979224"/>
            <w:bookmarkStart w:id="333" w:name="_Toc90979418"/>
            <w:bookmarkStart w:id="334" w:name="_Toc90979466"/>
            <w:bookmarkStart w:id="335" w:name="_Toc90979505"/>
            <w:bookmarkStart w:id="336" w:name="_Toc90979544"/>
            <w:bookmarkStart w:id="337" w:name="_Toc90979689"/>
            <w:bookmarkStart w:id="338" w:name="_Toc90979728"/>
            <w:bookmarkStart w:id="339" w:name="_Toc90979775"/>
            <w:bookmarkStart w:id="340" w:name="_Toc90979842"/>
            <w:bookmarkStart w:id="341" w:name="_Toc90981396"/>
            <w:bookmarkStart w:id="342" w:name="_Toc90981426"/>
            <w:bookmarkStart w:id="343" w:name="_Toc90981486"/>
            <w:bookmarkStart w:id="344" w:name="_Toc90981529"/>
            <w:bookmarkStart w:id="345" w:name="_Toc90983807"/>
            <w:bookmarkStart w:id="346" w:name="_Toc90983832"/>
            <w:bookmarkStart w:id="347" w:name="_Toc91482570"/>
            <w:bookmarkStart w:id="348" w:name="_Toc93773606"/>
            <w:r w:rsidRPr="00A178A6">
              <w:t>TÍTULO VI. Remedios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Chapter 10. Damages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349" w:name="_Toc90979226"/>
            <w:bookmarkStart w:id="350" w:name="_Toc90979420"/>
            <w:bookmarkStart w:id="351" w:name="_Toc90979468"/>
            <w:bookmarkStart w:id="352" w:name="_Toc90979507"/>
            <w:bookmarkStart w:id="353" w:name="_Toc90979546"/>
            <w:bookmarkStart w:id="354" w:name="_Toc90979691"/>
            <w:bookmarkStart w:id="355" w:name="_Toc90979730"/>
            <w:bookmarkStart w:id="356" w:name="_Toc90979777"/>
            <w:bookmarkStart w:id="357" w:name="_Toc90979844"/>
            <w:bookmarkStart w:id="358" w:name="_Toc90981398"/>
            <w:bookmarkStart w:id="359" w:name="_Toc90981428"/>
            <w:bookmarkStart w:id="360" w:name="_Toc90981487"/>
            <w:bookmarkStart w:id="361" w:name="_Toc90981530"/>
            <w:bookmarkStart w:id="362" w:name="_Toc90983808"/>
            <w:bookmarkStart w:id="363" w:name="_Toc90983833"/>
            <w:bookmarkStart w:id="364" w:name="_Toc91482571"/>
            <w:bookmarkStart w:id="365" w:name="_Toc93773607"/>
            <w:r w:rsidRPr="00A178A6">
              <w:t>Capítulo 10. Indemnización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tc>
      </w:tr>
      <w:tr w:rsidR="0010053B" w:rsidRPr="00291466">
        <w:trPr>
          <w:cantSplit/>
        </w:trPr>
        <w:tc>
          <w:tcPr>
            <w:tcW w:w="4366" w:type="dxa"/>
            <w:tcBorders>
              <w:top w:val="nil"/>
              <w:left w:val="nil"/>
              <w:bottom w:val="nil"/>
              <w:right w:val="nil"/>
            </w:tcBorders>
          </w:tcPr>
          <w:p w:rsidR="0010053B" w:rsidRPr="00887F29" w:rsidRDefault="0010053B" w:rsidP="0073413C">
            <w:pPr>
              <w:pStyle w:val="OriginalHeader"/>
              <w:suppressAutoHyphens/>
              <w:wordWrap/>
              <w:rPr>
                <w:i/>
              </w:rPr>
            </w:pPr>
            <w:r w:rsidRPr="00887F29">
              <w:rPr>
                <w:i/>
              </w:rPr>
              <w:t>Section 1. Damages in general</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rPr>
                <w:i/>
              </w:rPr>
            </w:pPr>
            <w:bookmarkStart w:id="366" w:name="_Toc90979228"/>
            <w:bookmarkStart w:id="367" w:name="_Toc90979422"/>
            <w:bookmarkStart w:id="368" w:name="_Toc90979470"/>
            <w:bookmarkStart w:id="369" w:name="_Toc90979509"/>
            <w:bookmarkStart w:id="370" w:name="_Toc90979548"/>
            <w:bookmarkStart w:id="371" w:name="_Toc90979693"/>
            <w:bookmarkStart w:id="372" w:name="_Toc90979732"/>
            <w:bookmarkStart w:id="373" w:name="_Toc90979779"/>
            <w:bookmarkStart w:id="374" w:name="_Toc90979846"/>
            <w:bookmarkStart w:id="375" w:name="_Toc90981400"/>
            <w:bookmarkStart w:id="376" w:name="_Toc90981430"/>
            <w:bookmarkStart w:id="377" w:name="_Toc90981488"/>
            <w:bookmarkStart w:id="378" w:name="_Toc90981531"/>
            <w:bookmarkStart w:id="379" w:name="_Toc90983809"/>
            <w:bookmarkStart w:id="380" w:name="_Toc90983834"/>
            <w:bookmarkStart w:id="381" w:name="_Toc91482572"/>
            <w:bookmarkStart w:id="382" w:name="_Toc93773608"/>
            <w:r w:rsidRPr="00A178A6">
              <w:rPr>
                <w:i/>
              </w:rPr>
              <w:t>Sección 1. Indemnización en general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10:101. Nature and purpose of damages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383" w:name="_Toc93773609"/>
            <w:r w:rsidRPr="00A178A6">
              <w:t>Art. 10:101. Naturaleza y objeto de la indemniz</w:t>
            </w:r>
            <w:r w:rsidRPr="00A178A6">
              <w:t>a</w:t>
            </w:r>
            <w:r w:rsidRPr="00A178A6">
              <w:t>ción</w:t>
            </w:r>
            <w:bookmarkEnd w:id="383"/>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Damages are a money payment to compensate the victim, that is to say, to restore him, so far as money can, to the position he would have been in if the wrong complained of had not been committed. Damages also serve the aim of pr</w:t>
            </w:r>
            <w:r w:rsidRPr="00291466">
              <w:t>e</w:t>
            </w:r>
            <w:r w:rsidRPr="00291466">
              <w:t>venting harm.</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La indemnización es un pago en dinero para compensar a la víctima, es decir, para reestablecerla, en la medida en que el dinero pueda hacerlo, en la posición que hubiera tenido si el ilícito por el que reclama no se hubiera producido. La indemnización también contribuye a la finalidad de prevenir el d</w:t>
            </w:r>
            <w:r w:rsidRPr="00A178A6">
              <w:t>a</w:t>
            </w:r>
            <w:r w:rsidRPr="00A178A6">
              <w:t>ño.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10:102. Lump sum or periodical pa</w:t>
            </w:r>
            <w:r w:rsidRPr="00291466">
              <w:t>y</w:t>
            </w:r>
            <w:r w:rsidRPr="00291466">
              <w:t>ments</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384" w:name="_Toc93773610"/>
            <w:r w:rsidRPr="00A178A6">
              <w:t>Art. 10:102. Suma alzada o renta periódica</w:t>
            </w:r>
            <w:bookmarkEnd w:id="384"/>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Damages are awarded in a lump sum or as per</w:t>
            </w:r>
            <w:r w:rsidRPr="00291466">
              <w:t>i</w:t>
            </w:r>
            <w:r w:rsidRPr="00291466">
              <w:t>odical payments as appropriate with particular regard to the interests of the vi</w:t>
            </w:r>
            <w:r w:rsidRPr="00291466">
              <w:t>c</w:t>
            </w:r>
            <w:r w:rsidRPr="00291466">
              <w:t>tim.</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La indemnización se otorga mediante suma alzada o renta periódica según resulte apropiado en atención, de modo especial, a los intereses de la víct</w:t>
            </w:r>
            <w:r w:rsidRPr="00A178A6">
              <w:t>i</w:t>
            </w:r>
            <w:r w:rsidRPr="00A178A6">
              <w:t>ma.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10:103. Benefits gained through the damaging event</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385" w:name="_Toc93773611"/>
            <w:r w:rsidRPr="00A178A6">
              <w:t>Art. 10:103. Beneficios obtenidos mediante el evento dañoso</w:t>
            </w:r>
            <w:bookmarkEnd w:id="385"/>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When determining the amount of damages ben</w:t>
            </w:r>
            <w:r w:rsidRPr="00291466">
              <w:t>e</w:t>
            </w:r>
            <w:r w:rsidRPr="00291466">
              <w:t>fits which the injured party gains through the da</w:t>
            </w:r>
            <w:r w:rsidRPr="00291466">
              <w:t>m</w:t>
            </w:r>
            <w:r w:rsidRPr="00291466">
              <w:t>aging event are to be taken into account unless this cannot be reconciled with the pu</w:t>
            </w:r>
            <w:r w:rsidRPr="00291466">
              <w:t>r</w:t>
            </w:r>
            <w:r w:rsidRPr="00291466">
              <w:t>pose of the ben</w:t>
            </w:r>
            <w:r w:rsidRPr="00291466">
              <w:t>e</w:t>
            </w:r>
            <w:r w:rsidRPr="00291466">
              <w:t>fit.</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Al determinar la cuantía de la indemnización, deben tenerse en cuenta los beneficios que el dañado ha obtenido mediante el evento dañoso, a menos que ello sea incompatible con la finalidad del ben</w:t>
            </w:r>
            <w:r w:rsidRPr="00A178A6">
              <w:t>e</w:t>
            </w:r>
            <w:r w:rsidRPr="00A178A6">
              <w:t>ficio.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10:104. Restoration in kind</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386" w:name="_Toc93773612"/>
            <w:r w:rsidRPr="00A178A6">
              <w:t>Art. 10:104. Reparación en forma específica</w:t>
            </w:r>
            <w:bookmarkEnd w:id="386"/>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Instead of damages, restoration in kind can be claimed by the injured party as far as it is poss</w:t>
            </w:r>
            <w:r w:rsidRPr="00291466">
              <w:t>i</w:t>
            </w:r>
            <w:r w:rsidRPr="00291466">
              <w:t>ble and not too bu</w:t>
            </w:r>
            <w:r w:rsidRPr="00291466">
              <w:t>r</w:t>
            </w:r>
            <w:r w:rsidRPr="00291466">
              <w:t>densome to the other party.</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En lugar de la indemnización, el dañado puede reclamar la reparación en forma e</w:t>
            </w:r>
            <w:r w:rsidRPr="00A178A6">
              <w:t>s</w:t>
            </w:r>
            <w:r w:rsidRPr="00A178A6">
              <w:t>pecífica en la medida en que ésta sea posible y no excesivamente gravosa p</w:t>
            </w:r>
            <w:r w:rsidRPr="00A178A6">
              <w:t>a</w:t>
            </w:r>
            <w:r w:rsidRPr="00A178A6">
              <w:t>ra la otra parte.</w:t>
            </w:r>
          </w:p>
        </w:tc>
      </w:tr>
      <w:tr w:rsidR="0010053B" w:rsidRPr="008D7E57">
        <w:trPr>
          <w:cantSplit/>
        </w:trPr>
        <w:tc>
          <w:tcPr>
            <w:tcW w:w="4366" w:type="dxa"/>
            <w:tcBorders>
              <w:top w:val="nil"/>
              <w:left w:val="nil"/>
              <w:bottom w:val="nil"/>
              <w:right w:val="nil"/>
            </w:tcBorders>
          </w:tcPr>
          <w:p w:rsidR="0010053B" w:rsidRPr="0010053B" w:rsidRDefault="0010053B" w:rsidP="0073413C">
            <w:pPr>
              <w:pStyle w:val="OriginalHeader"/>
              <w:suppressAutoHyphens/>
              <w:wordWrap/>
              <w:rPr>
                <w:i/>
              </w:rPr>
            </w:pPr>
            <w:r w:rsidRPr="0010053B">
              <w:rPr>
                <w:i/>
              </w:rPr>
              <w:t>Section 2. Pecuniary damage</w:t>
            </w:r>
          </w:p>
        </w:tc>
        <w:tc>
          <w:tcPr>
            <w:tcW w:w="340" w:type="dxa"/>
            <w:tcBorders>
              <w:top w:val="nil"/>
              <w:left w:val="nil"/>
              <w:bottom w:val="nil"/>
              <w:right w:val="nil"/>
            </w:tcBorders>
          </w:tcPr>
          <w:p w:rsidR="0010053B" w:rsidRPr="008D7E57" w:rsidRDefault="0010053B" w:rsidP="0073413C">
            <w:pPr>
              <w:pStyle w:val="Translation"/>
              <w:suppressAutoHyphens/>
              <w:wordWrap/>
              <w:rPr>
                <w:i/>
              </w:rPr>
            </w:pPr>
          </w:p>
        </w:tc>
        <w:tc>
          <w:tcPr>
            <w:tcW w:w="4366" w:type="dxa"/>
            <w:tcBorders>
              <w:top w:val="nil"/>
              <w:left w:val="nil"/>
              <w:bottom w:val="nil"/>
              <w:right w:val="nil"/>
            </w:tcBorders>
          </w:tcPr>
          <w:p w:rsidR="0010053B" w:rsidRPr="00A178A6" w:rsidRDefault="0010053B" w:rsidP="0073413C">
            <w:pPr>
              <w:pStyle w:val="TranslationHeader"/>
              <w:suppressAutoHyphens/>
              <w:wordWrap/>
              <w:rPr>
                <w:i/>
              </w:rPr>
            </w:pPr>
            <w:bookmarkStart w:id="387" w:name="_Toc90979230"/>
            <w:bookmarkStart w:id="388" w:name="_Toc90979424"/>
            <w:bookmarkStart w:id="389" w:name="_Toc90979472"/>
            <w:bookmarkStart w:id="390" w:name="_Toc90979511"/>
            <w:bookmarkStart w:id="391" w:name="_Toc90979550"/>
            <w:bookmarkStart w:id="392" w:name="_Toc90979695"/>
            <w:bookmarkStart w:id="393" w:name="_Toc90979734"/>
            <w:bookmarkStart w:id="394" w:name="_Toc90979781"/>
            <w:bookmarkStart w:id="395" w:name="_Toc90979847"/>
            <w:bookmarkStart w:id="396" w:name="_Toc90981401"/>
            <w:bookmarkStart w:id="397" w:name="_Toc90981431"/>
            <w:bookmarkStart w:id="398" w:name="_Toc90981489"/>
            <w:bookmarkStart w:id="399" w:name="_Toc90981532"/>
            <w:bookmarkStart w:id="400" w:name="_Toc90983810"/>
            <w:bookmarkStart w:id="401" w:name="_Toc90983835"/>
            <w:bookmarkStart w:id="402" w:name="_Toc91482573"/>
            <w:bookmarkStart w:id="403" w:name="_Toc93773613"/>
            <w:r w:rsidRPr="00A178A6">
              <w:rPr>
                <w:i/>
              </w:rPr>
              <w:t>Sección 2. Daño patrimonial</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A178A6">
              <w:rPr>
                <w:i/>
              </w:rPr>
              <w:t xml:space="preserve"> </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10:201. Nature and determination of p</w:t>
            </w:r>
            <w:r w:rsidRPr="00291466">
              <w:t>e</w:t>
            </w:r>
            <w:r w:rsidRPr="00291466">
              <w:t>cuniary damage</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404" w:name="_Toc93773614"/>
            <w:r w:rsidRPr="00A178A6">
              <w:t>Art. 10:201. Naturaleza y determin</w:t>
            </w:r>
            <w:r w:rsidRPr="00A178A6">
              <w:t>a</w:t>
            </w:r>
            <w:r w:rsidRPr="00A178A6">
              <w:t>ción del daño patrimonial</w:t>
            </w:r>
            <w:bookmarkEnd w:id="404"/>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Recoverable pecuniary damage is a diminution of the victim’s patrimony caused by the dama</w:t>
            </w:r>
            <w:r w:rsidRPr="00291466">
              <w:t>g</w:t>
            </w:r>
            <w:r w:rsidRPr="00291466">
              <w:t>ing event. Such damage is generally determined as concretely as possible but it may be dete</w:t>
            </w:r>
            <w:r w:rsidRPr="00291466">
              <w:t>r</w:t>
            </w:r>
            <w:r w:rsidRPr="00291466">
              <w:t>mined abstractly when a</w:t>
            </w:r>
            <w:r w:rsidRPr="00291466">
              <w:t>p</w:t>
            </w:r>
            <w:r w:rsidRPr="00291466">
              <w:t>propriate, for example by refe</w:t>
            </w:r>
            <w:r w:rsidRPr="00291466">
              <w:t>r</w:t>
            </w:r>
            <w:r w:rsidRPr="00291466">
              <w:t>ence to a market value.</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El daño patrimonial resarcible es la disminución del patrimonio de la víctima causada por el evento dañoso. Por regla general, tal daño se determina de un modo tan concreto como sea posible, pero puede determinarse en abstracto, como por ejemplo con relación al valor de mercado, cuando resu</w:t>
            </w:r>
            <w:r w:rsidRPr="00A178A6">
              <w:t>l</w:t>
            </w:r>
            <w:r w:rsidRPr="00A178A6">
              <w:t>te pertinente.</w:t>
            </w:r>
          </w:p>
        </w:tc>
      </w:tr>
      <w:tr w:rsidR="0010053B" w:rsidRPr="00291466">
        <w:trPr>
          <w:cantSplit/>
        </w:trPr>
        <w:tc>
          <w:tcPr>
            <w:tcW w:w="4366" w:type="dxa"/>
            <w:tcBorders>
              <w:top w:val="nil"/>
              <w:left w:val="nil"/>
              <w:bottom w:val="nil"/>
              <w:right w:val="nil"/>
            </w:tcBorders>
          </w:tcPr>
          <w:p w:rsidR="0010053B" w:rsidRPr="001D13DF" w:rsidRDefault="0010053B" w:rsidP="0073413C">
            <w:pPr>
              <w:pStyle w:val="OriginalHeader"/>
              <w:pageBreakBefore/>
              <w:suppressAutoHyphens/>
              <w:wordWrap/>
            </w:pPr>
            <w:r w:rsidRPr="001D13DF">
              <w:lastRenderedPageBreak/>
              <w:t>Art. 10:202. Personal injury and death</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405" w:name="_Toc93773615"/>
            <w:r w:rsidRPr="00A178A6">
              <w:t>Art. 10:202. Daño corporal y muerte</w:t>
            </w:r>
            <w:bookmarkEnd w:id="405"/>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In the case of personal i</w:t>
            </w:r>
            <w:r w:rsidRPr="00291466">
              <w:t>n</w:t>
            </w:r>
            <w:r w:rsidRPr="00291466">
              <w:t>jury, which includes injury to bodily health and to mental health amounting to a reco</w:t>
            </w:r>
            <w:r w:rsidRPr="00291466">
              <w:t>g</w:t>
            </w:r>
            <w:r w:rsidRPr="00291466">
              <w:t>nised illness, pecuniary damage includes loss of income, i</w:t>
            </w:r>
            <w:r w:rsidRPr="00291466">
              <w:t>m</w:t>
            </w:r>
            <w:r w:rsidRPr="00291466">
              <w:t>pairment of earning capa</w:t>
            </w:r>
            <w:r w:rsidRPr="00291466">
              <w:t>c</w:t>
            </w:r>
            <w:r w:rsidRPr="00291466">
              <w:t>ity (even if unaccompanied by any loss of income) and reasonable expenses, such as the cost of medical care.</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En el caso de daño corporal, lo que incluye el daño a la salud física y a la psíquica si comporta una enfermedad reconocida, el daño patrimonial incluye la pérdida de ingresos, el perjuicio de la capacidad de obtenerlos (incluso si no va acompañado de una pérdida de los mismos) y los gastos razonables, tales como el coste de la ate</w:t>
            </w:r>
            <w:r w:rsidRPr="00A178A6">
              <w:t>n</w:t>
            </w:r>
            <w:r w:rsidRPr="00A178A6">
              <w:t>ción médica.</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In the case of death, persons such as family members whom the deceased mai</w:t>
            </w:r>
            <w:r w:rsidRPr="00291466">
              <w:t>n</w:t>
            </w:r>
            <w:r w:rsidRPr="00291466">
              <w:t>tained or would have maintained if death had not occurred are treated as having suffered recoverable da</w:t>
            </w:r>
            <w:r w:rsidRPr="00291466">
              <w:t>m</w:t>
            </w:r>
            <w:r w:rsidRPr="00291466">
              <w:t>age to the extent of loss of that support.</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En el caso de muerte, se considera que han sufrido un daño resarcible, en la med</w:t>
            </w:r>
            <w:r w:rsidRPr="00A178A6">
              <w:t>i</w:t>
            </w:r>
            <w:r w:rsidRPr="00A178A6">
              <w:t>da de su pérdida de sostenimiento, las personas que, como los familiares, el difunto había mantenido o habría mantenido si la muerte no se hubiera pr</w:t>
            </w:r>
            <w:r w:rsidRPr="00A178A6">
              <w:t>o</w:t>
            </w:r>
            <w:r w:rsidRPr="00A178A6">
              <w:t>ducido.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10:203. Loss, destruction and damage of things</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406" w:name="_Toc93773616"/>
            <w:r w:rsidRPr="00A178A6">
              <w:t>Art. 10:203. Pérdida, destrucción y daño de cosas</w:t>
            </w:r>
            <w:bookmarkEnd w:id="406"/>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Where a thing is lost, d</w:t>
            </w:r>
            <w:r w:rsidRPr="00291466">
              <w:t>e</w:t>
            </w:r>
            <w:r w:rsidRPr="00291466">
              <w:t>stroyed or damaged, the basic measure of damages is the value of the thing or the diminution in its value and for this pu</w:t>
            </w:r>
            <w:r w:rsidRPr="00291466">
              <w:t>r</w:t>
            </w:r>
            <w:r w:rsidRPr="00291466">
              <w:t>pose it is irrelevant whether the victim intends to replace or r</w:t>
            </w:r>
            <w:r w:rsidRPr="00291466">
              <w:t>e</w:t>
            </w:r>
            <w:r w:rsidRPr="00291466">
              <w:t>pair the thing. However, if the victim has replaced or repaired it (or will do so), he may recover the higher expenditure thereby incurred if it is reasonable to do so.</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(1) Cuando una cosa se pierde, destruye o daña, la medida básica de la indemnización es su valor y, a estos efectos, es indiferente que la víctima quiera sustituir la cosa o repararla. No obstante, si la víctima la ha sustituido o reparado (o lo va a hacer) puede recuperar el mayor gasto si tal actuación resulta razonable.</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Damages may also be awarded for loss of use of the thing, including conseque</w:t>
            </w:r>
            <w:r w:rsidRPr="00291466">
              <w:t>n</w:t>
            </w:r>
            <w:r w:rsidRPr="00291466">
              <w:t>tial losses such as loss of bus</w:t>
            </w:r>
            <w:r w:rsidRPr="00291466">
              <w:t>i</w:t>
            </w:r>
            <w:r w:rsidRPr="00291466">
              <w:t>ness.</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También puede resarcirse la pérdida del uso de una cosa, incluidas las pérdidas derivadas de ello, como la pérdida de negocio.</w:t>
            </w:r>
          </w:p>
        </w:tc>
      </w:tr>
      <w:tr w:rsidR="0010053B" w:rsidRPr="008D7E57">
        <w:trPr>
          <w:cantSplit/>
        </w:trPr>
        <w:tc>
          <w:tcPr>
            <w:tcW w:w="4366" w:type="dxa"/>
            <w:tcBorders>
              <w:top w:val="nil"/>
              <w:left w:val="nil"/>
              <w:bottom w:val="nil"/>
              <w:right w:val="nil"/>
            </w:tcBorders>
          </w:tcPr>
          <w:p w:rsidR="0010053B" w:rsidRPr="0010053B" w:rsidRDefault="0010053B" w:rsidP="0073413C">
            <w:pPr>
              <w:pStyle w:val="OriginalHeader"/>
              <w:suppressAutoHyphens/>
              <w:wordWrap/>
              <w:rPr>
                <w:i/>
              </w:rPr>
            </w:pPr>
            <w:r w:rsidRPr="0010053B">
              <w:rPr>
                <w:i/>
              </w:rPr>
              <w:t>Section 3. Non-pecuniary damage</w:t>
            </w:r>
          </w:p>
        </w:tc>
        <w:tc>
          <w:tcPr>
            <w:tcW w:w="340" w:type="dxa"/>
            <w:tcBorders>
              <w:top w:val="nil"/>
              <w:left w:val="nil"/>
              <w:bottom w:val="nil"/>
              <w:right w:val="nil"/>
            </w:tcBorders>
          </w:tcPr>
          <w:p w:rsidR="0010053B" w:rsidRPr="008D7E57" w:rsidRDefault="0010053B" w:rsidP="0073413C">
            <w:pPr>
              <w:pStyle w:val="Translation"/>
              <w:suppressAutoHyphens/>
              <w:wordWrap/>
              <w:rPr>
                <w:i/>
              </w:rPr>
            </w:pPr>
          </w:p>
        </w:tc>
        <w:tc>
          <w:tcPr>
            <w:tcW w:w="4366" w:type="dxa"/>
            <w:tcBorders>
              <w:top w:val="nil"/>
              <w:left w:val="nil"/>
              <w:bottom w:val="nil"/>
              <w:right w:val="nil"/>
            </w:tcBorders>
          </w:tcPr>
          <w:p w:rsidR="0010053B" w:rsidRPr="00A178A6" w:rsidRDefault="0010053B" w:rsidP="0073413C">
            <w:pPr>
              <w:pStyle w:val="TranslationHeader"/>
              <w:suppressAutoHyphens/>
              <w:wordWrap/>
              <w:rPr>
                <w:i/>
              </w:rPr>
            </w:pPr>
            <w:bookmarkStart w:id="407" w:name="_Toc90979232"/>
            <w:bookmarkStart w:id="408" w:name="_Toc90979426"/>
            <w:bookmarkStart w:id="409" w:name="_Toc90979474"/>
            <w:bookmarkStart w:id="410" w:name="_Toc90979513"/>
            <w:bookmarkStart w:id="411" w:name="_Toc90979552"/>
            <w:bookmarkStart w:id="412" w:name="_Toc90979696"/>
            <w:bookmarkStart w:id="413" w:name="_Toc90979735"/>
            <w:bookmarkStart w:id="414" w:name="_Toc90979782"/>
            <w:bookmarkStart w:id="415" w:name="_Toc90979848"/>
            <w:bookmarkStart w:id="416" w:name="_Toc90981402"/>
            <w:bookmarkStart w:id="417" w:name="_Toc90981432"/>
            <w:bookmarkStart w:id="418" w:name="_Toc90981490"/>
            <w:bookmarkStart w:id="419" w:name="_Toc90981533"/>
            <w:bookmarkStart w:id="420" w:name="_Toc90983811"/>
            <w:bookmarkStart w:id="421" w:name="_Toc90983836"/>
            <w:bookmarkStart w:id="422" w:name="_Toc91482574"/>
            <w:bookmarkStart w:id="423" w:name="_Toc93773617"/>
            <w:r w:rsidRPr="00A178A6">
              <w:rPr>
                <w:i/>
              </w:rPr>
              <w:t>Sección 3. Daño no patrimonial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10:301. Non-pecuniary damage</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424" w:name="_Toc93773618"/>
            <w:r w:rsidRPr="00A178A6">
              <w:t>Art. 10:301. Daño no patrim</w:t>
            </w:r>
            <w:r w:rsidRPr="00A178A6">
              <w:t>o</w:t>
            </w:r>
            <w:r w:rsidRPr="00A178A6">
              <w:t>nial</w:t>
            </w:r>
            <w:bookmarkEnd w:id="424"/>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(1) Considering the scope of its protection (Art</w:t>
            </w:r>
            <w:r w:rsidRPr="00291466">
              <w:t>i</w:t>
            </w:r>
            <w:r w:rsidRPr="00291466">
              <w:t>cle 2:102), the violation of an interest may ju</w:t>
            </w:r>
            <w:r w:rsidRPr="00291466">
              <w:t>s</w:t>
            </w:r>
            <w:r w:rsidRPr="00291466">
              <w:t>tify compensation of non-pecuniary damage. This is the case in particular where the victim has su</w:t>
            </w:r>
            <w:r w:rsidRPr="00291466">
              <w:t>f</w:t>
            </w:r>
            <w:r w:rsidRPr="00291466">
              <w:t>fered personal injury; or injury to human dignity, li</w:t>
            </w:r>
            <w:r w:rsidRPr="00291466">
              <w:t>b</w:t>
            </w:r>
            <w:r w:rsidRPr="00291466">
              <w:t>erty, or other personality rights. Non-pecuniary damage can also be the subject of compensation for persons having a close rel</w:t>
            </w:r>
            <w:r w:rsidRPr="00291466">
              <w:t>a</w:t>
            </w:r>
            <w:r w:rsidRPr="00291466">
              <w:t>tionship with a victim suffering a fatal or very serious non-fatal i</w:t>
            </w:r>
            <w:r w:rsidRPr="00291466">
              <w:t>n</w:t>
            </w:r>
            <w:r w:rsidRPr="00291466">
              <w:t>jury.</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 xml:space="preserve">(1) En atención al alcance de su protección (artículo 2:102), la lesión de un interés puede justificar la compensación del daño no patrimonial. Este es el caso, en especial, si la víctima ha sufrido un daño corporal o un daño a la dignidad humana, a la libertad o a otros derechos de </w:t>
            </w:r>
            <w:smartTag w:uri="urn:schemas-microsoft-com:office:smarttags" w:element="PersonName">
              <w:smartTagPr>
                <w:attr w:name="ProductID" w:val="la personalidad. Tambi￩n"/>
              </w:smartTagPr>
              <w:r w:rsidRPr="00A178A6">
                <w:t>la personalidad. También</w:t>
              </w:r>
            </w:smartTag>
            <w:r w:rsidRPr="00A178A6">
              <w:t xml:space="preserve"> puede resarcirse el daño no patrimonial de aquellas personas allegadas a la víctima de un accidente mortal o una lesión muy grave.</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t>(2) In general, in the assessment of such da</w:t>
            </w:r>
            <w:r w:rsidRPr="00291466">
              <w:t>m</w:t>
            </w:r>
            <w:r w:rsidRPr="00291466">
              <w:t>ages, all circumstances of the case, including the gravity, duration and consequences of the grie</w:t>
            </w:r>
            <w:r w:rsidRPr="00291466">
              <w:t>v</w:t>
            </w:r>
            <w:r w:rsidRPr="00291466">
              <w:t>ance, have to be taken into account. The degree of the tortfeasor’s fault is to be taken into account only where it significantly contributes to the grievance of the vi</w:t>
            </w:r>
            <w:r w:rsidRPr="00291466">
              <w:t>c</w:t>
            </w:r>
            <w:r w:rsidRPr="00291466">
              <w:t>tim.</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(2) En general, para cuantificar tales daños se tendrán en cuenta todas las circunsta</w:t>
            </w:r>
            <w:r w:rsidRPr="00A178A6">
              <w:t>n</w:t>
            </w:r>
            <w:r w:rsidRPr="00A178A6">
              <w:t>cias del caso, incluyendo la gravedad, duración y consecuencias del daño. El grado de culpa del causante del daño sólo se tendrá en cuenta si contribuye al daño de la víctima de modo significativo.</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
              <w:suppressAutoHyphens/>
              <w:wordWrap/>
            </w:pPr>
            <w:r w:rsidRPr="00291466">
              <w:lastRenderedPageBreak/>
              <w:t>(3) In cases of personal injury, non-pecuniary damage corresponds to the suffering of the vi</w:t>
            </w:r>
            <w:r w:rsidRPr="00291466">
              <w:t>c</w:t>
            </w:r>
            <w:r w:rsidRPr="00291466">
              <w:t>tim and the impairment of his bodily or mental health. In assessing damages (including da</w:t>
            </w:r>
            <w:r w:rsidRPr="00291466">
              <w:t>m</w:t>
            </w:r>
            <w:r w:rsidRPr="00291466">
              <w:t>ages for persons having a close relationship to deceased or seriously injured victims) similar sums should be awarded for objectively similar losses.</w:t>
            </w:r>
          </w:p>
        </w:tc>
        <w:tc>
          <w:tcPr>
            <w:tcW w:w="340" w:type="dxa"/>
            <w:tcBorders>
              <w:top w:val="nil"/>
              <w:left w:val="nil"/>
              <w:bottom w:val="nil"/>
              <w:right w:val="nil"/>
            </w:tcBorders>
          </w:tcPr>
          <w:p w:rsidR="0010053B" w:rsidRPr="00406B20" w:rsidRDefault="0010053B" w:rsidP="0073413C">
            <w:pPr>
              <w:pStyle w:val="Translation"/>
              <w:suppressAutoHyphens/>
              <w:wordWrap/>
            </w:pPr>
          </w:p>
        </w:tc>
        <w:tc>
          <w:tcPr>
            <w:tcW w:w="4366" w:type="dxa"/>
            <w:tcBorders>
              <w:top w:val="nil"/>
              <w:left w:val="nil"/>
              <w:bottom w:val="nil"/>
              <w:right w:val="nil"/>
            </w:tcBorders>
          </w:tcPr>
          <w:p w:rsidR="0010053B" w:rsidRPr="00A178A6" w:rsidRDefault="0010053B" w:rsidP="0073413C">
            <w:pPr>
              <w:pStyle w:val="Translation"/>
              <w:suppressAutoHyphens/>
              <w:wordWrap/>
            </w:pPr>
            <w:r w:rsidRPr="00A178A6">
              <w:t>(3) En los casos de daño corporal, el daño no patrimonial corresponde al sufrimiento de la víctima y al perjuicio de su salud física o psíquica. En la cuantificación de las indemnizaciones (incluyendo las que correspondan a las personas allegadas a la víctima fallecida o que ha sufrido lesiones graves) se deberán conceder sumas indemnizatorias similares por aquellas pérdidas que sean objetivamente sim</w:t>
            </w:r>
            <w:r w:rsidRPr="00A178A6">
              <w:t>i</w:t>
            </w:r>
            <w:r w:rsidRPr="00A178A6">
              <w:t>lares.</w:t>
            </w:r>
          </w:p>
        </w:tc>
      </w:tr>
      <w:tr w:rsidR="0010053B" w:rsidRPr="00887F29">
        <w:trPr>
          <w:cantSplit/>
        </w:trPr>
        <w:tc>
          <w:tcPr>
            <w:tcW w:w="4366" w:type="dxa"/>
            <w:tcBorders>
              <w:top w:val="nil"/>
              <w:left w:val="nil"/>
              <w:bottom w:val="nil"/>
              <w:right w:val="nil"/>
            </w:tcBorders>
          </w:tcPr>
          <w:p w:rsidR="0010053B" w:rsidRPr="0010053B" w:rsidRDefault="0010053B" w:rsidP="0073413C">
            <w:pPr>
              <w:pStyle w:val="OriginalHeader"/>
              <w:suppressAutoHyphens/>
              <w:wordWrap/>
              <w:rPr>
                <w:i/>
              </w:rPr>
            </w:pPr>
            <w:r w:rsidRPr="0010053B">
              <w:rPr>
                <w:i/>
              </w:rPr>
              <w:t>Section 4. Reduction of damages</w:t>
            </w:r>
          </w:p>
        </w:tc>
        <w:tc>
          <w:tcPr>
            <w:tcW w:w="340" w:type="dxa"/>
            <w:tcBorders>
              <w:top w:val="nil"/>
              <w:left w:val="nil"/>
              <w:bottom w:val="nil"/>
              <w:right w:val="nil"/>
            </w:tcBorders>
          </w:tcPr>
          <w:p w:rsidR="0010053B" w:rsidRPr="00887F29" w:rsidRDefault="0010053B" w:rsidP="0073413C">
            <w:pPr>
              <w:pStyle w:val="Translation"/>
              <w:suppressAutoHyphens/>
              <w:wordWrap/>
              <w:rPr>
                <w:i/>
              </w:rPr>
            </w:pPr>
          </w:p>
        </w:tc>
        <w:tc>
          <w:tcPr>
            <w:tcW w:w="4366" w:type="dxa"/>
            <w:tcBorders>
              <w:top w:val="nil"/>
              <w:left w:val="nil"/>
              <w:bottom w:val="nil"/>
              <w:right w:val="nil"/>
            </w:tcBorders>
          </w:tcPr>
          <w:p w:rsidR="0010053B" w:rsidRPr="00A178A6" w:rsidRDefault="0010053B" w:rsidP="0073413C">
            <w:pPr>
              <w:pStyle w:val="TranslationHeader"/>
              <w:suppressAutoHyphens/>
              <w:wordWrap/>
              <w:rPr>
                <w:i/>
              </w:rPr>
            </w:pPr>
            <w:bookmarkStart w:id="425" w:name="_Toc90979234"/>
            <w:bookmarkStart w:id="426" w:name="_Toc90979428"/>
            <w:bookmarkStart w:id="427" w:name="_Toc90979476"/>
            <w:bookmarkStart w:id="428" w:name="_Toc90979515"/>
            <w:bookmarkStart w:id="429" w:name="_Toc90979554"/>
            <w:bookmarkStart w:id="430" w:name="_Toc90979697"/>
            <w:bookmarkStart w:id="431" w:name="_Toc90979736"/>
            <w:bookmarkStart w:id="432" w:name="_Toc90979783"/>
            <w:bookmarkStart w:id="433" w:name="_Toc90979849"/>
            <w:bookmarkStart w:id="434" w:name="_Toc90981403"/>
            <w:bookmarkStart w:id="435" w:name="_Toc90981433"/>
            <w:bookmarkStart w:id="436" w:name="_Toc90981491"/>
            <w:bookmarkStart w:id="437" w:name="_Toc90981534"/>
            <w:bookmarkStart w:id="438" w:name="_Toc90983812"/>
            <w:bookmarkStart w:id="439" w:name="_Toc90983837"/>
            <w:bookmarkStart w:id="440" w:name="_Toc91482575"/>
            <w:bookmarkStart w:id="441" w:name="_Toc93773619"/>
            <w:r w:rsidRPr="00A178A6">
              <w:rPr>
                <w:i/>
              </w:rPr>
              <w:t xml:space="preserve">Sección 4. </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A178A6">
              <w:rPr>
                <w:i/>
              </w:rPr>
              <w:t>Reducción de la indemnización</w:t>
            </w:r>
          </w:p>
        </w:tc>
      </w:tr>
      <w:tr w:rsidR="0010053B" w:rsidRPr="00291466">
        <w:trPr>
          <w:cantSplit/>
        </w:trPr>
        <w:tc>
          <w:tcPr>
            <w:tcW w:w="4366" w:type="dxa"/>
            <w:tcBorders>
              <w:top w:val="nil"/>
              <w:left w:val="nil"/>
              <w:bottom w:val="nil"/>
              <w:right w:val="nil"/>
            </w:tcBorders>
          </w:tcPr>
          <w:p w:rsidR="0010053B" w:rsidRPr="00291466" w:rsidRDefault="0010053B" w:rsidP="0073413C">
            <w:pPr>
              <w:pStyle w:val="OriginalHeader"/>
              <w:suppressAutoHyphens/>
              <w:wordWrap/>
            </w:pPr>
            <w:r w:rsidRPr="00291466">
              <w:t>Art. 10:401. Reduction of damages</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A178A6" w:rsidRDefault="0010053B" w:rsidP="0073413C">
            <w:pPr>
              <w:pStyle w:val="TranslationHeader"/>
              <w:suppressAutoHyphens/>
              <w:wordWrap/>
            </w:pPr>
            <w:bookmarkStart w:id="442" w:name="_Toc93773620"/>
            <w:r w:rsidRPr="00A178A6">
              <w:t>Art. 10:401. Reducción de la indemnización</w:t>
            </w:r>
            <w:bookmarkEnd w:id="442"/>
          </w:p>
        </w:tc>
      </w:tr>
      <w:tr w:rsidR="0010053B" w:rsidRPr="00291466">
        <w:trPr>
          <w:cantSplit/>
        </w:trPr>
        <w:tc>
          <w:tcPr>
            <w:tcW w:w="4366" w:type="dxa"/>
            <w:tcBorders>
              <w:top w:val="nil"/>
              <w:left w:val="nil"/>
              <w:bottom w:val="nil"/>
              <w:right w:val="nil"/>
            </w:tcBorders>
          </w:tcPr>
          <w:p w:rsidR="0010053B" w:rsidRDefault="0010053B" w:rsidP="0073413C">
            <w:pPr>
              <w:pStyle w:val="Original"/>
              <w:suppressAutoHyphens/>
              <w:wordWrap/>
            </w:pPr>
            <w:r w:rsidRPr="00291466">
              <w:t>In an exceptional case, if in light of the financial situation of the parties full compens</w:t>
            </w:r>
            <w:r w:rsidRPr="00291466">
              <w:t>a</w:t>
            </w:r>
            <w:r w:rsidRPr="00291466">
              <w:t>tion would be an oppressive burden to the defendant, da</w:t>
            </w:r>
            <w:r w:rsidRPr="00291466">
              <w:t>m</w:t>
            </w:r>
            <w:r w:rsidRPr="00291466">
              <w:t>ages may be r</w:t>
            </w:r>
            <w:r w:rsidRPr="00291466">
              <w:t>e</w:t>
            </w:r>
            <w:r w:rsidRPr="00291466">
              <w:t>duced. In deciding whether to do so, the basis of liability (Art</w:t>
            </w:r>
            <w:r w:rsidRPr="00291466">
              <w:t>i</w:t>
            </w:r>
            <w:r w:rsidRPr="00291466">
              <w:t>cle 1:101), the scope of prote</w:t>
            </w:r>
            <w:r w:rsidRPr="00291466">
              <w:t>c</w:t>
            </w:r>
            <w:r w:rsidRPr="00291466">
              <w:t>tion of the interest (Article 2:102) and the magnitude of the damage have to be taken into a</w:t>
            </w:r>
            <w:r w:rsidRPr="00291466">
              <w:t>c</w:t>
            </w:r>
            <w:r w:rsidRPr="00291466">
              <w:t>count in particular.</w:t>
            </w:r>
          </w:p>
        </w:tc>
        <w:tc>
          <w:tcPr>
            <w:tcW w:w="340" w:type="dxa"/>
            <w:tcBorders>
              <w:top w:val="nil"/>
              <w:left w:val="nil"/>
              <w:bottom w:val="nil"/>
              <w:right w:val="nil"/>
            </w:tcBorders>
          </w:tcPr>
          <w:p w:rsidR="0010053B" w:rsidRPr="00406B20" w:rsidRDefault="0010053B" w:rsidP="0073413C">
            <w:pPr>
              <w:pStyle w:val="TranslationHeader"/>
              <w:suppressAutoHyphens/>
              <w:wordWrap/>
            </w:pPr>
          </w:p>
        </w:tc>
        <w:tc>
          <w:tcPr>
            <w:tcW w:w="4366" w:type="dxa"/>
            <w:tcBorders>
              <w:top w:val="nil"/>
              <w:left w:val="nil"/>
              <w:bottom w:val="nil"/>
              <w:right w:val="nil"/>
            </w:tcBorders>
          </w:tcPr>
          <w:p w:rsidR="0010053B" w:rsidRPr="00895ED5" w:rsidRDefault="0010053B" w:rsidP="0073413C">
            <w:pPr>
              <w:pStyle w:val="Translation"/>
              <w:suppressAutoHyphens/>
              <w:wordWrap/>
            </w:pPr>
            <w:r w:rsidRPr="00A178A6">
              <w:t>En casos excepcionales, puede reducirse la indemnización si la compensación íntegra comporta una carga opresiva para el demandado a la luz de la situación económica de las partes. Para determinar si esta reducción procede, deberá tenerse en cuenta, de modo especial, el fundamento de la responsabilidad (artículo 1:101), el alcance de la protección del interés (artículo 2:102) y la magnitud del d</w:t>
            </w:r>
            <w:r w:rsidRPr="00A178A6">
              <w:t>a</w:t>
            </w:r>
            <w:r w:rsidRPr="00A178A6">
              <w:t>ño.</w:t>
            </w:r>
          </w:p>
        </w:tc>
      </w:tr>
    </w:tbl>
    <w:p w:rsidR="00AB794D" w:rsidRDefault="00AB794D" w:rsidP="0073413C">
      <w:pPr>
        <w:pStyle w:val="Original"/>
        <w:suppressAutoHyphens/>
        <w:wordWrap/>
      </w:pPr>
    </w:p>
    <w:sectPr w:rsidR="00AB794D" w:rsidSect="00291466">
      <w:headerReference w:type="default" r:id="rId7"/>
      <w:footerReference w:type="default" r:id="rId8"/>
      <w:footerReference w:type="first" r:id="rId9"/>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524" w:rsidRDefault="003E6524">
      <w:r>
        <w:separator/>
      </w:r>
    </w:p>
  </w:endnote>
  <w:endnote w:type="continuationSeparator" w:id="0">
    <w:p w:rsidR="003E6524" w:rsidRDefault="003E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03" w:rsidRDefault="009D1003"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632C7D">
      <w:rPr>
        <w:rStyle w:val="Seitenzahl"/>
        <w:noProof/>
      </w:rPr>
      <w:t>11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03" w:rsidRPr="00601325" w:rsidRDefault="009D1003">
    <w:pPr>
      <w:pStyle w:val="Fuzeile"/>
      <w:rPr>
        <w:lang w:val="de-AT"/>
      </w:rPr>
    </w:pPr>
    <w:r>
      <w:rPr>
        <w:lang w:val="de-AT"/>
      </w:rPr>
      <w:t>Spanish Translation by Miquel Martín-Casals</w:t>
    </w:r>
    <w:r w:rsidR="006E49E0">
      <w:rPr>
        <w:lang w:val="de-AT"/>
      </w:rPr>
      <w:t xml:space="preserve"> and Albert Ruda González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524" w:rsidRDefault="003E6524">
      <w:pPr>
        <w:pStyle w:val="Fuzeile"/>
        <w:spacing w:before="120" w:after="120"/>
      </w:pPr>
    </w:p>
  </w:footnote>
  <w:footnote w:type="continuationSeparator" w:id="0">
    <w:p w:rsidR="003E6524" w:rsidRDefault="003E6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03" w:rsidRDefault="009D1003" w:rsidP="009A52B2">
    <w:pPr>
      <w:pStyle w:val="Kopfzeile"/>
      <w:rPr>
        <w:b/>
      </w:rPr>
    </w:pPr>
    <w:r w:rsidRPr="009A52B2">
      <w:rPr>
        <w:b/>
        <w:i/>
      </w:rPr>
      <w:t>European Group on Tort Law</w:t>
    </w:r>
    <w:r>
      <w:rPr>
        <w:b/>
      </w:rPr>
      <w:tab/>
    </w:r>
    <w:r>
      <w:rPr>
        <w:b/>
      </w:rPr>
      <w:fldChar w:fldCharType="begin"/>
    </w:r>
    <w:r>
      <w:rPr>
        <w:b/>
      </w:rPr>
      <w:instrText xml:space="preserve"> STYLEREF  TranslationTitle  \* MERGEFORMAT </w:instrText>
    </w:r>
    <w:r w:rsidR="002E3C6E">
      <w:rPr>
        <w:b/>
      </w:rPr>
      <w:fldChar w:fldCharType="separate"/>
    </w:r>
    <w:r w:rsidR="00632C7D">
      <w:rPr>
        <w:b/>
        <w:noProof/>
      </w:rPr>
      <w:t>Principios de derecho europeo de la responsabilidad civil</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2"/>
  </w:num>
  <w:num w:numId="15">
    <w:abstractNumId w:val="16"/>
  </w:num>
  <w:num w:numId="16">
    <w:abstractNumId w:val="16"/>
  </w:num>
  <w:num w:numId="17">
    <w:abstractNumId w:val="14"/>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activeWritingStyle w:appName="MSWord" w:lang="en-GB" w:vendorID="64" w:dllVersion="131078" w:nlCheck="1" w:checkStyle="1"/>
  <w:activeWritingStyle w:appName="MSWord" w:lang="fr-CH" w:vendorID="64" w:dllVersion="131078" w:nlCheck="1" w:checkStyle="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5"/>
    <w:rsid w:val="00032C29"/>
    <w:rsid w:val="000D5E5B"/>
    <w:rsid w:val="000E6345"/>
    <w:rsid w:val="00100335"/>
    <w:rsid w:val="0010053B"/>
    <w:rsid w:val="00111185"/>
    <w:rsid w:val="00112FF2"/>
    <w:rsid w:val="0019067C"/>
    <w:rsid w:val="001D13DF"/>
    <w:rsid w:val="001E2EDD"/>
    <w:rsid w:val="001E7849"/>
    <w:rsid w:val="001F1776"/>
    <w:rsid w:val="00202250"/>
    <w:rsid w:val="00220420"/>
    <w:rsid w:val="0025222B"/>
    <w:rsid w:val="0028097B"/>
    <w:rsid w:val="00291466"/>
    <w:rsid w:val="002A5B8F"/>
    <w:rsid w:val="002B21B3"/>
    <w:rsid w:val="002C1E38"/>
    <w:rsid w:val="002E23A2"/>
    <w:rsid w:val="002E3C6E"/>
    <w:rsid w:val="002F729D"/>
    <w:rsid w:val="00320D00"/>
    <w:rsid w:val="00332042"/>
    <w:rsid w:val="00332EEC"/>
    <w:rsid w:val="00357847"/>
    <w:rsid w:val="003A0164"/>
    <w:rsid w:val="003B30F4"/>
    <w:rsid w:val="003C7F9C"/>
    <w:rsid w:val="003D7420"/>
    <w:rsid w:val="003E6524"/>
    <w:rsid w:val="003F3E2B"/>
    <w:rsid w:val="003F6C88"/>
    <w:rsid w:val="0040477C"/>
    <w:rsid w:val="00406B20"/>
    <w:rsid w:val="00462C16"/>
    <w:rsid w:val="004B3749"/>
    <w:rsid w:val="004E2E63"/>
    <w:rsid w:val="00503353"/>
    <w:rsid w:val="00506EAA"/>
    <w:rsid w:val="00507257"/>
    <w:rsid w:val="00596351"/>
    <w:rsid w:val="005B3AA4"/>
    <w:rsid w:val="005B54C6"/>
    <w:rsid w:val="005B63AE"/>
    <w:rsid w:val="005C3597"/>
    <w:rsid w:val="00601325"/>
    <w:rsid w:val="00612EA8"/>
    <w:rsid w:val="00625F5F"/>
    <w:rsid w:val="00632C7D"/>
    <w:rsid w:val="00660A74"/>
    <w:rsid w:val="00667A5F"/>
    <w:rsid w:val="00681DA8"/>
    <w:rsid w:val="0069425B"/>
    <w:rsid w:val="006D1C72"/>
    <w:rsid w:val="006E49E0"/>
    <w:rsid w:val="006E6DD1"/>
    <w:rsid w:val="00700034"/>
    <w:rsid w:val="00731C0E"/>
    <w:rsid w:val="0073413C"/>
    <w:rsid w:val="0076492A"/>
    <w:rsid w:val="00773911"/>
    <w:rsid w:val="00817732"/>
    <w:rsid w:val="00872A71"/>
    <w:rsid w:val="008775A1"/>
    <w:rsid w:val="008853DF"/>
    <w:rsid w:val="00887F29"/>
    <w:rsid w:val="008D7E57"/>
    <w:rsid w:val="008E5540"/>
    <w:rsid w:val="00905791"/>
    <w:rsid w:val="00962CB0"/>
    <w:rsid w:val="009A52B2"/>
    <w:rsid w:val="009D1003"/>
    <w:rsid w:val="009D6868"/>
    <w:rsid w:val="009F23B3"/>
    <w:rsid w:val="00A10E0A"/>
    <w:rsid w:val="00A34B6F"/>
    <w:rsid w:val="00A40B79"/>
    <w:rsid w:val="00A65737"/>
    <w:rsid w:val="00A96868"/>
    <w:rsid w:val="00AB794D"/>
    <w:rsid w:val="00AC5CE7"/>
    <w:rsid w:val="00AE115E"/>
    <w:rsid w:val="00AF23EF"/>
    <w:rsid w:val="00B515A9"/>
    <w:rsid w:val="00B62D31"/>
    <w:rsid w:val="00B77AB5"/>
    <w:rsid w:val="00BB5FD9"/>
    <w:rsid w:val="00BC29C0"/>
    <w:rsid w:val="00C01CD9"/>
    <w:rsid w:val="00C14169"/>
    <w:rsid w:val="00C241A2"/>
    <w:rsid w:val="00C406E8"/>
    <w:rsid w:val="00C61389"/>
    <w:rsid w:val="00C752A1"/>
    <w:rsid w:val="00C7660B"/>
    <w:rsid w:val="00C83AA7"/>
    <w:rsid w:val="00C94754"/>
    <w:rsid w:val="00CA32C3"/>
    <w:rsid w:val="00D11810"/>
    <w:rsid w:val="00D353A7"/>
    <w:rsid w:val="00D53E38"/>
    <w:rsid w:val="00DD60E5"/>
    <w:rsid w:val="00DF41A4"/>
    <w:rsid w:val="00DF5EB5"/>
    <w:rsid w:val="00E060DB"/>
    <w:rsid w:val="00E560F2"/>
    <w:rsid w:val="00E60C4B"/>
    <w:rsid w:val="00E81F56"/>
    <w:rsid w:val="00E822AC"/>
    <w:rsid w:val="00EB0562"/>
    <w:rsid w:val="00ED027C"/>
    <w:rsid w:val="00F06C81"/>
    <w:rsid w:val="00F44971"/>
    <w:rsid w:val="00F508BC"/>
    <w:rsid w:val="00F850D0"/>
    <w:rsid w:val="00F918F5"/>
    <w:rsid w:val="00FB73D2"/>
    <w:rsid w:val="00FC565D"/>
    <w:rsid w:val="00FD5E89"/>
    <w:rsid w:val="00FF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045D640"/>
  <w15:chartTrackingRefBased/>
  <w15:docId w15:val="{635A14ED-8B91-4363-842F-79A76FB7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semiHidden/>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semiHidden/>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semiHidden/>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semiHidden/>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semiHidden/>
    <w:pPr>
      <w:widowControl w:val="0"/>
      <w:spacing w:before="0"/>
    </w:pPr>
    <w:rPr>
      <w:rFonts w:ascii="Times New Roman" w:hAnsi="Times New Roman"/>
      <w:sz w:val="16"/>
    </w:rPr>
  </w:style>
  <w:style w:type="paragraph" w:customStyle="1" w:styleId="Clause">
    <w:name w:val="Clause"/>
    <w:basedOn w:val="Standard"/>
    <w:semiHidden/>
    <w:pPr>
      <w:spacing w:before="0"/>
      <w:ind w:left="142"/>
    </w:pPr>
    <w:rPr>
      <w:sz w:val="20"/>
      <w:lang w:eastAsia="de-DE"/>
    </w:rPr>
  </w:style>
  <w:style w:type="paragraph" w:customStyle="1" w:styleId="Funotentext2">
    <w:name w:val="Fußnotentext2"/>
    <w:basedOn w:val="Funotentext"/>
    <w:semiHidden/>
    <w:pPr>
      <w:spacing w:before="0"/>
      <w:ind w:firstLine="0"/>
    </w:pPr>
    <w:rPr>
      <w:lang w:val="de-DE"/>
    </w:rPr>
  </w:style>
  <w:style w:type="paragraph" w:customStyle="1" w:styleId="StandardA">
    <w:name w:val="StandardA"/>
    <w:basedOn w:val="Standard"/>
    <w:semiHidden/>
    <w:pPr>
      <w:spacing w:before="0"/>
      <w:ind w:left="568" w:hanging="284"/>
    </w:pPr>
  </w:style>
  <w:style w:type="paragraph" w:customStyle="1" w:styleId="Proposal">
    <w:name w:val="Proposal"/>
    <w:basedOn w:val="Standard"/>
    <w:semiHidden/>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29146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5B54C6"/>
    <w:rPr>
      <w:rFonts w:cs="Courier New"/>
      <w:color w:val="000000"/>
      <w:lang w:val="es-ES" w:eastAsia="de-DE"/>
    </w:rPr>
  </w:style>
  <w:style w:type="paragraph" w:customStyle="1" w:styleId="TranslationHeader">
    <w:name w:val="TranslationHeader"/>
    <w:basedOn w:val="Translation"/>
    <w:rsid w:val="00E81F56"/>
    <w:rPr>
      <w:b/>
    </w:rPr>
  </w:style>
  <w:style w:type="paragraph" w:customStyle="1" w:styleId="TranslationTitle">
    <w:name w:val="TranslationTitle"/>
    <w:basedOn w:val="OriginalTitle"/>
    <w:link w:val="TranslationTitleZchn"/>
    <w:rsid w:val="009A52B2"/>
    <w:rPr>
      <w:color w:val="000000"/>
    </w:rPr>
  </w:style>
  <w:style w:type="character" w:customStyle="1" w:styleId="TranslationTitleZchn">
    <w:name w:val="TranslationTitle Zchn"/>
    <w:basedOn w:val="Absatz-Standardschriftart"/>
    <w:link w:val="TranslationTitle"/>
    <w:rsid w:val="001D13DF"/>
    <w:rPr>
      <w:rFonts w:ascii="Arial" w:hAnsi="Arial"/>
      <w:b/>
      <w:color w:val="000000"/>
      <w:sz w:val="28"/>
      <w:szCs w:val="28"/>
      <w:lang w:val="en-GB" w:eastAsia="de-DE" w:bidi="ar-SA"/>
    </w:rPr>
  </w:style>
  <w:style w:type="character" w:customStyle="1" w:styleId="T">
    <w:name w:val="T"/>
    <w:basedOn w:val="Absatz-Standardschriftart"/>
    <w:rsid w:val="0010053B"/>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5268</Words>
  <Characters>33190</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Principles of European Tort Law</vt:lpstr>
    </vt:vector>
  </TitlesOfParts>
  <Company>http://www.egtl.org</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
  <dc:creator>European Group on Tort Law</dc:creator>
  <cp:keywords/>
  <dc:description/>
  <cp:lastModifiedBy>Koch, Bernhard Alexander</cp:lastModifiedBy>
  <cp:revision>2</cp:revision>
  <cp:lastPrinted>2005-02-11T12:36:00Z</cp:lastPrinted>
  <dcterms:created xsi:type="dcterms:W3CDTF">2019-04-30T10:07:00Z</dcterms:created>
  <dcterms:modified xsi:type="dcterms:W3CDTF">2019-04-30T10:07:00Z</dcterms:modified>
</cp:coreProperties>
</file>